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B95E35" w14:textId="3038C869" w:rsidR="0081703E" w:rsidRDefault="0081703E" w:rsidP="00307C4A">
      <w:pPr>
        <w:spacing w:line="245" w:lineRule="exact"/>
        <w:rPr>
          <w:rFonts w:ascii="Arial" w:hAnsi="Arial" w:cs="Arial"/>
          <w:sz w:val="20"/>
          <w:szCs w:val="20"/>
        </w:rPr>
      </w:pPr>
    </w:p>
    <w:p w14:paraId="4A5FCF73" w14:textId="77777777" w:rsidR="0081703E" w:rsidRDefault="0081703E" w:rsidP="00307C4A">
      <w:pPr>
        <w:spacing w:line="245" w:lineRule="exact"/>
        <w:rPr>
          <w:rFonts w:ascii="Arial" w:hAnsi="Arial" w:cs="Arial"/>
          <w:sz w:val="20"/>
          <w:szCs w:val="20"/>
        </w:rPr>
      </w:pPr>
    </w:p>
    <w:p w14:paraId="58A65CF5" w14:textId="77777777" w:rsidR="0081703E" w:rsidRPr="0014022A" w:rsidRDefault="0081703E" w:rsidP="00307C4A">
      <w:pPr>
        <w:spacing w:line="245" w:lineRule="exact"/>
        <w:rPr>
          <w:rFonts w:ascii="Georgia" w:hAnsi="Georgia" w:cs="Arial"/>
        </w:rPr>
      </w:pPr>
    </w:p>
    <w:p w14:paraId="71598326" w14:textId="169F4A3C" w:rsidR="00307C4A" w:rsidRPr="008A20F1" w:rsidRDefault="0014022A" w:rsidP="00307C4A">
      <w:pPr>
        <w:spacing w:line="245" w:lineRule="exact"/>
        <w:rPr>
          <w:rFonts w:ascii="Georgia" w:hAnsi="Georgia" w:cs="Arial"/>
          <w:sz w:val="22"/>
          <w:szCs w:val="22"/>
        </w:rPr>
      </w:pPr>
      <w:r w:rsidRPr="008A20F1">
        <w:rPr>
          <w:rFonts w:ascii="Georgia" w:hAnsi="Georgia" w:cs="Arial"/>
          <w:sz w:val="22"/>
          <w:szCs w:val="22"/>
        </w:rPr>
        <w:t>April</w:t>
      </w:r>
      <w:r w:rsidR="008A20F1">
        <w:rPr>
          <w:rFonts w:ascii="Georgia" w:hAnsi="Georgia" w:cs="Arial"/>
          <w:sz w:val="22"/>
          <w:szCs w:val="22"/>
        </w:rPr>
        <w:t xml:space="preserve"> 26</w:t>
      </w:r>
      <w:r w:rsidRPr="008A20F1">
        <w:rPr>
          <w:rFonts w:ascii="Georgia" w:hAnsi="Georgia" w:cs="Arial"/>
          <w:sz w:val="22"/>
          <w:szCs w:val="22"/>
        </w:rPr>
        <w:t xml:space="preserve"> 2018</w:t>
      </w:r>
    </w:p>
    <w:p w14:paraId="0723343B" w14:textId="4FA2B18E" w:rsidR="00152ADF" w:rsidRPr="008A20F1" w:rsidRDefault="00CA7979" w:rsidP="0014022A">
      <w:pPr>
        <w:spacing w:line="245" w:lineRule="exact"/>
        <w:rPr>
          <w:rFonts w:ascii="Georgia" w:hAnsi="Georgia" w:cs="Arial"/>
          <w:sz w:val="22"/>
          <w:szCs w:val="22"/>
        </w:rPr>
      </w:pPr>
      <w:r w:rsidRPr="008A20F1">
        <w:rPr>
          <w:rFonts w:ascii="Georgia" w:hAnsi="Georgia" w:cs="Arial"/>
          <w:sz w:val="22"/>
          <w:szCs w:val="22"/>
        </w:rPr>
        <w:t xml:space="preserve">Dr. </w:t>
      </w:r>
      <w:r w:rsidR="0014022A" w:rsidRPr="008A20F1">
        <w:rPr>
          <w:rFonts w:ascii="Georgia" w:hAnsi="Georgia" w:cs="Arial"/>
          <w:sz w:val="22"/>
          <w:szCs w:val="22"/>
        </w:rPr>
        <w:t>Doug Ramsey</w:t>
      </w:r>
    </w:p>
    <w:p w14:paraId="7DCF1E66" w14:textId="77777777" w:rsidR="0014022A" w:rsidRPr="008A20F1" w:rsidRDefault="0014022A" w:rsidP="00307C4A">
      <w:pPr>
        <w:spacing w:line="245" w:lineRule="exact"/>
        <w:rPr>
          <w:rFonts w:ascii="Georgia" w:hAnsi="Georgia" w:cs="Arial"/>
          <w:i/>
          <w:sz w:val="22"/>
          <w:szCs w:val="22"/>
        </w:rPr>
      </w:pPr>
      <w:r w:rsidRPr="008A20F1">
        <w:rPr>
          <w:rFonts w:ascii="Georgia" w:hAnsi="Georgia" w:cs="Arial"/>
          <w:i/>
          <w:sz w:val="22"/>
          <w:szCs w:val="22"/>
        </w:rPr>
        <w:t xml:space="preserve">Journal of Rural and </w:t>
      </w:r>
    </w:p>
    <w:p w14:paraId="2B3BF991" w14:textId="3998ED11" w:rsidR="00CA7979" w:rsidRPr="008A20F1" w:rsidRDefault="0014022A" w:rsidP="00307C4A">
      <w:pPr>
        <w:spacing w:line="245" w:lineRule="exact"/>
        <w:rPr>
          <w:rFonts w:ascii="Georgia" w:hAnsi="Georgia" w:cs="Arial"/>
          <w:i/>
          <w:sz w:val="22"/>
          <w:szCs w:val="22"/>
        </w:rPr>
      </w:pPr>
      <w:r w:rsidRPr="008A20F1">
        <w:rPr>
          <w:rFonts w:ascii="Georgia" w:hAnsi="Georgia" w:cs="Arial"/>
          <w:i/>
          <w:sz w:val="22"/>
          <w:szCs w:val="22"/>
        </w:rPr>
        <w:t xml:space="preserve">Community Development </w:t>
      </w:r>
    </w:p>
    <w:p w14:paraId="771F098C" w14:textId="77777777" w:rsidR="00307C4A" w:rsidRPr="008A20F1" w:rsidRDefault="00307C4A" w:rsidP="00307C4A">
      <w:pPr>
        <w:spacing w:line="245" w:lineRule="exact"/>
        <w:rPr>
          <w:rFonts w:ascii="Georgia" w:hAnsi="Georgia" w:cs="Arial"/>
          <w:sz w:val="22"/>
          <w:szCs w:val="22"/>
        </w:rPr>
      </w:pPr>
    </w:p>
    <w:p w14:paraId="7CBE44A1" w14:textId="120A2A0D" w:rsidR="00307C4A" w:rsidRPr="008A20F1" w:rsidRDefault="00307C4A" w:rsidP="00307C4A">
      <w:pPr>
        <w:spacing w:line="245" w:lineRule="exact"/>
        <w:rPr>
          <w:rFonts w:ascii="Georgia" w:hAnsi="Georgia" w:cs="Arial"/>
          <w:sz w:val="22"/>
          <w:szCs w:val="22"/>
        </w:rPr>
      </w:pPr>
      <w:r w:rsidRPr="008A20F1">
        <w:rPr>
          <w:rFonts w:ascii="Georgia" w:hAnsi="Georgia" w:cs="Arial"/>
          <w:sz w:val="22"/>
          <w:szCs w:val="22"/>
        </w:rPr>
        <w:t xml:space="preserve">RE: </w:t>
      </w:r>
      <w:r w:rsidR="0033757A" w:rsidRPr="008A20F1">
        <w:rPr>
          <w:rFonts w:ascii="Georgia" w:hAnsi="Georgia" w:cs="Arial"/>
          <w:sz w:val="22"/>
          <w:szCs w:val="22"/>
        </w:rPr>
        <w:t xml:space="preserve">Article </w:t>
      </w:r>
      <w:r w:rsidR="0014022A" w:rsidRPr="008A20F1">
        <w:rPr>
          <w:rFonts w:ascii="Georgia" w:hAnsi="Georgia" w:cs="Arial"/>
          <w:sz w:val="22"/>
          <w:szCs w:val="22"/>
        </w:rPr>
        <w:t>re-</w:t>
      </w:r>
      <w:r w:rsidR="00643721" w:rsidRPr="008A20F1">
        <w:rPr>
          <w:rFonts w:ascii="Georgia" w:hAnsi="Georgia" w:cs="Arial"/>
          <w:sz w:val="22"/>
          <w:szCs w:val="22"/>
        </w:rPr>
        <w:t>s</w:t>
      </w:r>
      <w:r w:rsidR="0033757A" w:rsidRPr="008A20F1">
        <w:rPr>
          <w:rFonts w:ascii="Georgia" w:hAnsi="Georgia" w:cs="Arial"/>
          <w:sz w:val="22"/>
          <w:szCs w:val="22"/>
        </w:rPr>
        <w:t>ubmission</w:t>
      </w:r>
    </w:p>
    <w:p w14:paraId="3E52F827" w14:textId="77777777" w:rsidR="00307C4A" w:rsidRPr="008A20F1" w:rsidRDefault="00307C4A" w:rsidP="00307C4A">
      <w:pPr>
        <w:spacing w:line="245" w:lineRule="exact"/>
        <w:rPr>
          <w:rFonts w:ascii="Georgia" w:hAnsi="Georgia" w:cs="Arial"/>
          <w:sz w:val="22"/>
          <w:szCs w:val="22"/>
        </w:rPr>
      </w:pPr>
    </w:p>
    <w:p w14:paraId="1006C72A" w14:textId="1E38707E" w:rsidR="00307C4A" w:rsidRPr="008A20F1" w:rsidRDefault="00307C4A" w:rsidP="00307C4A">
      <w:pPr>
        <w:spacing w:line="245" w:lineRule="exact"/>
        <w:rPr>
          <w:rFonts w:ascii="Georgia" w:hAnsi="Georgia" w:cs="Arial"/>
          <w:sz w:val="22"/>
          <w:szCs w:val="22"/>
        </w:rPr>
      </w:pPr>
      <w:r w:rsidRPr="008A20F1">
        <w:rPr>
          <w:rFonts w:ascii="Georgia" w:hAnsi="Georgia" w:cs="Arial"/>
          <w:sz w:val="22"/>
          <w:szCs w:val="22"/>
        </w:rPr>
        <w:t xml:space="preserve">Dear </w:t>
      </w:r>
      <w:r w:rsidR="0014022A" w:rsidRPr="008A20F1">
        <w:rPr>
          <w:rFonts w:ascii="Georgia" w:hAnsi="Georgia" w:cs="Arial"/>
          <w:sz w:val="22"/>
          <w:szCs w:val="22"/>
        </w:rPr>
        <w:t>Dr. Ramsey</w:t>
      </w:r>
      <w:r w:rsidRPr="008A20F1">
        <w:rPr>
          <w:rFonts w:ascii="Georgia" w:hAnsi="Georgia" w:cs="Arial"/>
          <w:sz w:val="22"/>
          <w:szCs w:val="22"/>
        </w:rPr>
        <w:t>:</w:t>
      </w:r>
    </w:p>
    <w:p w14:paraId="6F13454F" w14:textId="77777777" w:rsidR="00307C4A" w:rsidRPr="008A20F1" w:rsidRDefault="00307C4A" w:rsidP="00307C4A">
      <w:pPr>
        <w:spacing w:line="245" w:lineRule="exact"/>
        <w:rPr>
          <w:rFonts w:ascii="Georgia" w:hAnsi="Georgia" w:cs="Arial"/>
          <w:sz w:val="22"/>
          <w:szCs w:val="22"/>
        </w:rPr>
      </w:pPr>
    </w:p>
    <w:p w14:paraId="3FDE37F9" w14:textId="2472B5C3" w:rsidR="0014022A" w:rsidRPr="008A20F1" w:rsidRDefault="00152ADF" w:rsidP="00307C4A">
      <w:pPr>
        <w:spacing w:line="245" w:lineRule="exact"/>
        <w:rPr>
          <w:rFonts w:ascii="Georgia" w:hAnsi="Georgia" w:cs="Arial"/>
          <w:sz w:val="22"/>
          <w:szCs w:val="22"/>
        </w:rPr>
      </w:pPr>
      <w:r w:rsidRPr="008A20F1">
        <w:rPr>
          <w:rFonts w:ascii="Georgia" w:hAnsi="Georgia" w:cs="Arial"/>
          <w:sz w:val="22"/>
          <w:szCs w:val="22"/>
        </w:rPr>
        <w:t>I</w:t>
      </w:r>
      <w:r w:rsidR="00CA7979" w:rsidRPr="008A20F1">
        <w:rPr>
          <w:rFonts w:ascii="Georgia" w:hAnsi="Georgia" w:cs="Arial"/>
          <w:sz w:val="22"/>
          <w:szCs w:val="22"/>
        </w:rPr>
        <w:t xml:space="preserve">t is a pleasure to </w:t>
      </w:r>
      <w:r w:rsidR="0081703E" w:rsidRPr="008A20F1">
        <w:rPr>
          <w:rFonts w:ascii="Georgia" w:hAnsi="Georgia" w:cs="Arial"/>
          <w:sz w:val="22"/>
          <w:szCs w:val="22"/>
        </w:rPr>
        <w:t>re-</w:t>
      </w:r>
      <w:r w:rsidR="0033757A" w:rsidRPr="008A20F1">
        <w:rPr>
          <w:rFonts w:ascii="Georgia" w:hAnsi="Georgia" w:cs="Arial"/>
          <w:sz w:val="22"/>
          <w:szCs w:val="22"/>
        </w:rPr>
        <w:t>submit</w:t>
      </w:r>
      <w:r w:rsidR="0014022A" w:rsidRPr="008A20F1">
        <w:rPr>
          <w:rFonts w:ascii="Georgia" w:hAnsi="Georgia" w:cs="Arial"/>
          <w:sz w:val="22"/>
          <w:szCs w:val="22"/>
        </w:rPr>
        <w:t xml:space="preserve"> our </w:t>
      </w:r>
      <w:r w:rsidR="0033757A" w:rsidRPr="008A20F1">
        <w:rPr>
          <w:rFonts w:ascii="Georgia" w:hAnsi="Georgia" w:cs="Arial"/>
          <w:sz w:val="22"/>
          <w:szCs w:val="22"/>
        </w:rPr>
        <w:t>article for review in an</w:t>
      </w:r>
      <w:r w:rsidR="00CA7979" w:rsidRPr="008A20F1">
        <w:rPr>
          <w:rFonts w:ascii="Georgia" w:hAnsi="Georgia" w:cs="Arial"/>
          <w:sz w:val="22"/>
          <w:szCs w:val="22"/>
        </w:rPr>
        <w:t xml:space="preserve"> upcoming issue of </w:t>
      </w:r>
      <w:r w:rsidR="0014022A" w:rsidRPr="008A20F1">
        <w:rPr>
          <w:rFonts w:ascii="Georgia" w:hAnsi="Georgia" w:cs="Arial"/>
          <w:sz w:val="22"/>
          <w:szCs w:val="22"/>
        </w:rPr>
        <w:t xml:space="preserve">the Journal of Rural </w:t>
      </w:r>
      <w:r w:rsidR="008A20F1">
        <w:rPr>
          <w:rFonts w:ascii="Georgia" w:hAnsi="Georgia" w:cs="Arial"/>
          <w:sz w:val="22"/>
          <w:szCs w:val="22"/>
        </w:rPr>
        <w:t xml:space="preserve">and </w:t>
      </w:r>
      <w:r w:rsidR="0014022A" w:rsidRPr="008A20F1">
        <w:rPr>
          <w:rFonts w:ascii="Georgia" w:hAnsi="Georgia" w:cs="Arial"/>
          <w:sz w:val="22"/>
          <w:szCs w:val="22"/>
        </w:rPr>
        <w:t>Community Development</w:t>
      </w:r>
      <w:r w:rsidR="0033757A" w:rsidRPr="008A20F1">
        <w:rPr>
          <w:rFonts w:ascii="Georgia" w:hAnsi="Georgia" w:cs="Arial"/>
          <w:sz w:val="22"/>
          <w:szCs w:val="22"/>
        </w:rPr>
        <w:t>.</w:t>
      </w:r>
      <w:r w:rsidR="0014022A" w:rsidRPr="008A20F1">
        <w:rPr>
          <w:rFonts w:ascii="Georgia" w:hAnsi="Georgia" w:cs="Arial"/>
          <w:sz w:val="22"/>
          <w:szCs w:val="22"/>
        </w:rPr>
        <w:t xml:space="preserve"> On behalf of my co</w:t>
      </w:r>
      <w:r w:rsidR="008A20F1">
        <w:rPr>
          <w:rFonts w:ascii="Georgia" w:hAnsi="Georgia" w:cs="Arial"/>
          <w:sz w:val="22"/>
          <w:szCs w:val="22"/>
        </w:rPr>
        <w:t>-</w:t>
      </w:r>
      <w:r w:rsidR="0014022A" w:rsidRPr="008A20F1">
        <w:rPr>
          <w:rFonts w:ascii="Georgia" w:hAnsi="Georgia" w:cs="Arial"/>
          <w:sz w:val="22"/>
          <w:szCs w:val="22"/>
        </w:rPr>
        <w:t>authors, we thank you for all your help so far and are grateful for the insightful comments that were given during the first round of review. We agree the one review was comprehensive and changes made as a result have made the paper a great fit for JRCD. As requested, we outline the major changes to the paper below. They correspond to the</w:t>
      </w:r>
      <w:r w:rsidR="008A20F1">
        <w:rPr>
          <w:rFonts w:ascii="Georgia" w:hAnsi="Georgia" w:cs="Arial"/>
          <w:sz w:val="22"/>
          <w:szCs w:val="22"/>
        </w:rPr>
        <w:t xml:space="preserve"> reviewer’s</w:t>
      </w:r>
      <w:r w:rsidR="0014022A" w:rsidRPr="008A20F1">
        <w:rPr>
          <w:rFonts w:ascii="Georgia" w:hAnsi="Georgia" w:cs="Arial"/>
          <w:sz w:val="22"/>
          <w:szCs w:val="22"/>
        </w:rPr>
        <w:t xml:space="preserve"> four major concerns. </w:t>
      </w:r>
      <w:r w:rsidR="008A20F1">
        <w:rPr>
          <w:rFonts w:ascii="Georgia" w:hAnsi="Georgia" w:cs="Arial"/>
          <w:sz w:val="22"/>
          <w:szCs w:val="22"/>
        </w:rPr>
        <w:t>All other minor changes that were suggested, including adherence to APA guidelines, were completed.</w:t>
      </w:r>
      <w:r w:rsidR="0071735F">
        <w:rPr>
          <w:rFonts w:ascii="Georgia" w:hAnsi="Georgia" w:cs="Arial"/>
          <w:sz w:val="22"/>
          <w:szCs w:val="22"/>
        </w:rPr>
        <w:t xml:space="preserve"> </w:t>
      </w:r>
      <w:r w:rsidR="0071735F" w:rsidRPr="008A20F1">
        <w:rPr>
          <w:rFonts w:ascii="Georgia" w:hAnsi="Georgia" w:cs="Arial"/>
          <w:sz w:val="22"/>
          <w:szCs w:val="22"/>
        </w:rPr>
        <w:t xml:space="preserve">We sincerely hope </w:t>
      </w:r>
      <w:r w:rsidR="0071735F">
        <w:rPr>
          <w:rFonts w:ascii="Georgia" w:hAnsi="Georgia" w:cs="Arial"/>
          <w:sz w:val="22"/>
          <w:szCs w:val="22"/>
        </w:rPr>
        <w:t xml:space="preserve">you </w:t>
      </w:r>
      <w:r w:rsidR="0071735F" w:rsidRPr="008A20F1">
        <w:rPr>
          <w:rFonts w:ascii="Georgia" w:hAnsi="Georgia" w:cs="Arial"/>
          <w:sz w:val="22"/>
          <w:szCs w:val="22"/>
        </w:rPr>
        <w:t xml:space="preserve">find this version of the paper a pleasure to read and hope it contributes to the journal and the </w:t>
      </w:r>
      <w:r w:rsidR="0071735F">
        <w:rPr>
          <w:rFonts w:ascii="Georgia" w:hAnsi="Georgia" w:cs="Arial"/>
          <w:sz w:val="22"/>
          <w:szCs w:val="22"/>
        </w:rPr>
        <w:t xml:space="preserve">discussion surrounding environmental injustice and rural communities in Canada </w:t>
      </w:r>
      <w:r w:rsidR="0071735F" w:rsidRPr="008A20F1">
        <w:rPr>
          <w:rFonts w:ascii="Georgia" w:hAnsi="Georgia" w:cs="Arial"/>
          <w:sz w:val="22"/>
          <w:szCs w:val="22"/>
        </w:rPr>
        <w:t>more generally.</w:t>
      </w:r>
    </w:p>
    <w:p w14:paraId="47EAC71F" w14:textId="77777777" w:rsidR="0014022A" w:rsidRPr="008A20F1" w:rsidRDefault="0014022A" w:rsidP="00307C4A">
      <w:pPr>
        <w:spacing w:line="245" w:lineRule="exact"/>
        <w:rPr>
          <w:rFonts w:ascii="Georgia" w:hAnsi="Georgia" w:cs="Arial"/>
          <w:sz w:val="22"/>
          <w:szCs w:val="22"/>
        </w:rPr>
      </w:pPr>
    </w:p>
    <w:p w14:paraId="0D2A81E2" w14:textId="69935C8E" w:rsidR="0014022A" w:rsidRPr="008A20F1" w:rsidRDefault="0014022A" w:rsidP="0014022A">
      <w:pPr>
        <w:pStyle w:val="ListParagraph"/>
        <w:numPr>
          <w:ilvl w:val="0"/>
          <w:numId w:val="1"/>
        </w:numPr>
        <w:rPr>
          <w:rFonts w:ascii="Georgia" w:eastAsia="Times New Roman" w:hAnsi="Georgia" w:cs="Arial"/>
          <w:color w:val="222222"/>
          <w:sz w:val="22"/>
          <w:szCs w:val="22"/>
          <w:shd w:val="clear" w:color="auto" w:fill="FFFFFF"/>
        </w:rPr>
      </w:pPr>
      <w:r w:rsidRPr="008A20F1">
        <w:rPr>
          <w:rFonts w:ascii="Georgia" w:eastAsia="Times New Roman" w:hAnsi="Georgia" w:cs="Arial"/>
          <w:color w:val="222222"/>
          <w:sz w:val="22"/>
          <w:szCs w:val="22"/>
          <w:shd w:val="clear" w:color="auto" w:fill="FFFFFF"/>
        </w:rPr>
        <w:t>We have now gone through the introduction, identified places where topics were not well defined or explained, and made the appropriate changes (</w:t>
      </w:r>
      <w:r w:rsidRPr="008A20F1">
        <w:rPr>
          <w:rFonts w:ascii="Georgia" w:eastAsia="Times New Roman" w:hAnsi="Georgia" w:cs="Arial"/>
          <w:color w:val="222222"/>
          <w:sz w:val="22"/>
          <w:szCs w:val="22"/>
          <w:shd w:val="clear" w:color="auto" w:fill="FFFFFF"/>
        </w:rPr>
        <w:t xml:space="preserve">e.g. </w:t>
      </w:r>
      <w:r w:rsidRPr="008A20F1">
        <w:rPr>
          <w:rFonts w:ascii="Georgia" w:eastAsia="Times New Roman" w:hAnsi="Georgia" w:cs="Arial"/>
          <w:color w:val="222222"/>
          <w:sz w:val="22"/>
          <w:szCs w:val="22"/>
          <w:shd w:val="clear" w:color="auto" w:fill="FFFFFF"/>
        </w:rPr>
        <w:t>see the move to post-productive countryside(s), declining rural populations, and rurality)</w:t>
      </w:r>
      <w:r w:rsidRPr="008A20F1">
        <w:rPr>
          <w:rFonts w:ascii="Georgia" w:eastAsia="Times New Roman" w:hAnsi="Georgia" w:cs="Arial"/>
          <w:color w:val="222222"/>
          <w:sz w:val="22"/>
          <w:szCs w:val="22"/>
          <w:shd w:val="clear" w:color="auto" w:fill="FFFFFF"/>
        </w:rPr>
        <w:t xml:space="preserve">. </w:t>
      </w:r>
      <w:r w:rsidRPr="008A20F1">
        <w:rPr>
          <w:rFonts w:ascii="Georgia" w:eastAsia="Times New Roman" w:hAnsi="Georgia" w:cs="Arial"/>
          <w:color w:val="222222"/>
          <w:sz w:val="22"/>
          <w:szCs w:val="22"/>
          <w:shd w:val="clear" w:color="auto" w:fill="FFFFFF"/>
        </w:rPr>
        <w:t>Attention has also be</w:t>
      </w:r>
      <w:r w:rsidRPr="008A20F1">
        <w:rPr>
          <w:rFonts w:ascii="Georgia" w:eastAsia="Times New Roman" w:hAnsi="Georgia" w:cs="Arial"/>
          <w:color w:val="222222"/>
          <w:sz w:val="22"/>
          <w:szCs w:val="22"/>
          <w:shd w:val="clear" w:color="auto" w:fill="FFFFFF"/>
        </w:rPr>
        <w:t>en</w:t>
      </w:r>
      <w:r w:rsidRPr="008A20F1">
        <w:rPr>
          <w:rFonts w:ascii="Georgia" w:eastAsia="Times New Roman" w:hAnsi="Georgia" w:cs="Arial"/>
          <w:color w:val="222222"/>
          <w:sz w:val="22"/>
          <w:szCs w:val="22"/>
          <w:shd w:val="clear" w:color="auto" w:fill="FFFFFF"/>
        </w:rPr>
        <w:t xml:space="preserve"> paid to better explain the “urban-based policy interests and governance system” (see new discussion around McAllister’s (2004) work) and the ideological distinction piece (added two sentences, plus cited the work by Bittner, 2007)</w:t>
      </w:r>
      <w:r w:rsidRPr="008A20F1">
        <w:rPr>
          <w:rFonts w:ascii="Georgia" w:eastAsia="Times New Roman" w:hAnsi="Georgia" w:cs="Arial"/>
          <w:color w:val="222222"/>
          <w:sz w:val="22"/>
          <w:szCs w:val="22"/>
          <w:shd w:val="clear" w:color="auto" w:fill="FFFFFF"/>
        </w:rPr>
        <w:t xml:space="preserve">. </w:t>
      </w:r>
    </w:p>
    <w:p w14:paraId="59C005FD" w14:textId="77777777" w:rsidR="0014022A" w:rsidRPr="008A20F1" w:rsidRDefault="0014022A" w:rsidP="0014022A">
      <w:pPr>
        <w:ind w:left="360"/>
        <w:rPr>
          <w:rFonts w:ascii="Georgia" w:eastAsia="Times New Roman" w:hAnsi="Georgia" w:cs="Arial"/>
          <w:color w:val="222222"/>
          <w:sz w:val="22"/>
          <w:szCs w:val="22"/>
          <w:shd w:val="clear" w:color="auto" w:fill="FFFFFF"/>
        </w:rPr>
      </w:pPr>
    </w:p>
    <w:p w14:paraId="4D2868E5" w14:textId="2CF163F7" w:rsidR="0014022A" w:rsidRPr="008A20F1" w:rsidRDefault="0014022A" w:rsidP="0014022A">
      <w:pPr>
        <w:pStyle w:val="ListParagraph"/>
        <w:rPr>
          <w:rFonts w:ascii="Georgia" w:eastAsia="Times New Roman" w:hAnsi="Georgia" w:cs="Arial"/>
          <w:color w:val="222222"/>
          <w:sz w:val="22"/>
          <w:szCs w:val="22"/>
          <w:shd w:val="clear" w:color="auto" w:fill="FFFFFF"/>
        </w:rPr>
      </w:pPr>
      <w:r w:rsidRPr="008A20F1">
        <w:rPr>
          <w:rFonts w:ascii="Georgia" w:eastAsia="Times New Roman" w:hAnsi="Georgia" w:cs="Arial"/>
          <w:color w:val="222222"/>
          <w:sz w:val="22"/>
          <w:szCs w:val="22"/>
          <w:shd w:val="clear" w:color="auto" w:fill="FFFFFF"/>
        </w:rPr>
        <w:t xml:space="preserve">In adding to the context given in Section 2, we now more show evidence of how these developments were built in </w:t>
      </w:r>
      <w:r w:rsidRPr="008A20F1">
        <w:rPr>
          <w:rFonts w:ascii="Georgia" w:eastAsia="Times New Roman" w:hAnsi="Georgia" w:cs="Arial"/>
          <w:color w:val="222222"/>
          <w:sz w:val="22"/>
          <w:szCs w:val="22"/>
          <w:shd w:val="clear" w:color="auto" w:fill="FFFFFF"/>
        </w:rPr>
        <w:t>line with the province</w:t>
      </w:r>
      <w:r w:rsidR="008A20F1">
        <w:rPr>
          <w:rFonts w:ascii="Georgia" w:eastAsia="Times New Roman" w:hAnsi="Georgia" w:cs="Arial"/>
          <w:color w:val="222222"/>
          <w:sz w:val="22"/>
          <w:szCs w:val="22"/>
          <w:shd w:val="clear" w:color="auto" w:fill="FFFFFF"/>
        </w:rPr>
        <w:t>’</w:t>
      </w:r>
      <w:r w:rsidRPr="008A20F1">
        <w:rPr>
          <w:rFonts w:ascii="Georgia" w:eastAsia="Times New Roman" w:hAnsi="Georgia" w:cs="Arial"/>
          <w:color w:val="222222"/>
          <w:sz w:val="22"/>
          <w:szCs w:val="22"/>
          <w:shd w:val="clear" w:color="auto" w:fill="FFFFFF"/>
        </w:rPr>
        <w:t>s goals. I</w:t>
      </w:r>
      <w:r w:rsidRPr="008A20F1">
        <w:rPr>
          <w:rFonts w:ascii="Georgia" w:eastAsia="Times New Roman" w:hAnsi="Georgia" w:cs="Arial"/>
          <w:color w:val="222222"/>
          <w:sz w:val="22"/>
          <w:szCs w:val="22"/>
          <w:shd w:val="clear" w:color="auto" w:fill="FFFFFF"/>
        </w:rPr>
        <w:t>ndeed, we cite these reasons along with those from industry as well regarding the promote</w:t>
      </w:r>
      <w:r w:rsidRPr="008A20F1">
        <w:rPr>
          <w:rFonts w:ascii="Georgia" w:eastAsia="Times New Roman" w:hAnsi="Georgia" w:cs="Arial"/>
          <w:color w:val="222222"/>
          <w:sz w:val="22"/>
          <w:szCs w:val="22"/>
          <w:shd w:val="clear" w:color="auto" w:fill="FFFFFF"/>
        </w:rPr>
        <w:t>d benefits of such developments. E</w:t>
      </w:r>
      <w:r w:rsidRPr="008A20F1">
        <w:rPr>
          <w:rFonts w:ascii="Georgia" w:eastAsia="Times New Roman" w:hAnsi="Georgia" w:cs="Arial"/>
          <w:color w:val="222222"/>
          <w:sz w:val="22"/>
          <w:szCs w:val="22"/>
          <w:shd w:val="clear" w:color="auto" w:fill="FFFFFF"/>
        </w:rPr>
        <w:t>vidence is now provided to show how the two developments were built largely to “benefit the provinces largest urban areas” (</w:t>
      </w:r>
      <w:r w:rsidRPr="008A20F1">
        <w:rPr>
          <w:rFonts w:ascii="Georgia" w:eastAsia="Times New Roman" w:hAnsi="Georgia" w:cs="Arial"/>
          <w:color w:val="222222"/>
          <w:sz w:val="22"/>
          <w:szCs w:val="22"/>
          <w:shd w:val="clear" w:color="auto" w:fill="FFFFFF"/>
        </w:rPr>
        <w:t xml:space="preserve">i.e. </w:t>
      </w:r>
      <w:r w:rsidRPr="008A20F1">
        <w:rPr>
          <w:rFonts w:ascii="Georgia" w:eastAsia="Times New Roman" w:hAnsi="Georgia" w:cs="Arial"/>
          <w:color w:val="222222"/>
          <w:sz w:val="22"/>
          <w:szCs w:val="22"/>
          <w:shd w:val="clear" w:color="auto" w:fill="FFFFFF"/>
        </w:rPr>
        <w:t>see the discussion around IESO, 2018 and Lystek, 2018)</w:t>
      </w:r>
      <w:r w:rsidRPr="008A20F1">
        <w:rPr>
          <w:rFonts w:ascii="Georgia" w:eastAsia="Times New Roman" w:hAnsi="Georgia" w:cs="Arial"/>
          <w:color w:val="222222"/>
          <w:sz w:val="22"/>
          <w:szCs w:val="22"/>
          <w:shd w:val="clear" w:color="auto" w:fill="FFFFFF"/>
        </w:rPr>
        <w:t xml:space="preserve">. </w:t>
      </w:r>
    </w:p>
    <w:p w14:paraId="720DAA08" w14:textId="77777777" w:rsidR="0014022A" w:rsidRPr="008A20F1" w:rsidRDefault="0014022A" w:rsidP="0014022A">
      <w:pPr>
        <w:pStyle w:val="ListParagraph"/>
        <w:rPr>
          <w:rFonts w:ascii="Georgia" w:eastAsia="Times New Roman" w:hAnsi="Georgia" w:cs="Arial"/>
          <w:color w:val="222222"/>
          <w:sz w:val="22"/>
          <w:szCs w:val="22"/>
          <w:shd w:val="clear" w:color="auto" w:fill="FFFFFF"/>
        </w:rPr>
      </w:pPr>
    </w:p>
    <w:p w14:paraId="1140D86A" w14:textId="72D75184" w:rsidR="0014022A" w:rsidRPr="008A20F1" w:rsidRDefault="0014022A" w:rsidP="008A20F1">
      <w:pPr>
        <w:pStyle w:val="ListParagraph"/>
        <w:numPr>
          <w:ilvl w:val="0"/>
          <w:numId w:val="1"/>
        </w:numPr>
        <w:rPr>
          <w:rFonts w:ascii="Georgia" w:eastAsia="Times New Roman" w:hAnsi="Georgia" w:cs="Arial"/>
          <w:color w:val="222222"/>
          <w:sz w:val="22"/>
          <w:szCs w:val="22"/>
          <w:shd w:val="clear" w:color="auto" w:fill="FFFFFF"/>
        </w:rPr>
      </w:pPr>
      <w:r w:rsidRPr="008A20F1">
        <w:rPr>
          <w:rFonts w:ascii="Georgia" w:eastAsia="Times New Roman" w:hAnsi="Georgia" w:cs="Arial"/>
          <w:color w:val="222222"/>
          <w:sz w:val="22"/>
          <w:szCs w:val="22"/>
          <w:shd w:val="clear" w:color="auto" w:fill="FFFFFF"/>
        </w:rPr>
        <w:t>Much more detail (</w:t>
      </w:r>
      <w:r w:rsidR="008A20F1" w:rsidRPr="008A20F1">
        <w:rPr>
          <w:rFonts w:ascii="Georgia" w:eastAsia="Times New Roman" w:hAnsi="Georgia" w:cs="Arial"/>
          <w:color w:val="222222"/>
          <w:sz w:val="22"/>
          <w:szCs w:val="22"/>
          <w:shd w:val="clear" w:color="auto" w:fill="FFFFFF"/>
        </w:rPr>
        <w:t xml:space="preserve">see </w:t>
      </w:r>
      <w:r w:rsidRPr="008A20F1">
        <w:rPr>
          <w:rFonts w:ascii="Georgia" w:eastAsia="Times New Roman" w:hAnsi="Georgia" w:cs="Arial"/>
          <w:color w:val="222222"/>
          <w:sz w:val="22"/>
          <w:szCs w:val="22"/>
          <w:shd w:val="clear" w:color="auto" w:fill="FFFFFF"/>
        </w:rPr>
        <w:t>start of Section 2) is now included for why we chose the use of the multiple case study (MCS) approach</w:t>
      </w:r>
      <w:r w:rsidR="008A20F1" w:rsidRPr="008A20F1">
        <w:rPr>
          <w:rFonts w:ascii="Georgia" w:eastAsia="Times New Roman" w:hAnsi="Georgia" w:cs="Arial"/>
          <w:color w:val="222222"/>
          <w:sz w:val="22"/>
          <w:szCs w:val="22"/>
          <w:shd w:val="clear" w:color="auto" w:fill="FFFFFF"/>
        </w:rPr>
        <w:t xml:space="preserve">. </w:t>
      </w:r>
      <w:r w:rsidRPr="008A20F1">
        <w:rPr>
          <w:rFonts w:ascii="Georgia" w:eastAsia="Times New Roman" w:hAnsi="Georgia" w:cs="Arial"/>
          <w:color w:val="222222"/>
          <w:sz w:val="22"/>
          <w:szCs w:val="22"/>
          <w:shd w:val="clear" w:color="auto" w:fill="FFFFFF"/>
        </w:rPr>
        <w:t>We explain that because of the theoretical compatibility</w:t>
      </w:r>
      <w:r w:rsidR="008A20F1" w:rsidRPr="008A20F1">
        <w:rPr>
          <w:rFonts w:ascii="Georgia" w:eastAsia="Times New Roman" w:hAnsi="Georgia" w:cs="Arial"/>
          <w:color w:val="222222"/>
          <w:sz w:val="22"/>
          <w:szCs w:val="22"/>
          <w:shd w:val="clear" w:color="auto" w:fill="FFFFFF"/>
        </w:rPr>
        <w:t xml:space="preserve"> — </w:t>
      </w:r>
      <w:r w:rsidRPr="008A20F1">
        <w:rPr>
          <w:rFonts w:ascii="Georgia" w:eastAsia="Times New Roman" w:hAnsi="Georgia" w:cs="Arial"/>
          <w:color w:val="222222"/>
          <w:sz w:val="22"/>
          <w:szCs w:val="22"/>
          <w:shd w:val="clear" w:color="auto" w:fill="FFFFFF"/>
        </w:rPr>
        <w:t>largely related to the environmental justice framework a</w:t>
      </w:r>
      <w:r w:rsidR="008A20F1" w:rsidRPr="008A20F1">
        <w:rPr>
          <w:rFonts w:ascii="Georgia" w:eastAsia="Times New Roman" w:hAnsi="Georgia" w:cs="Arial"/>
          <w:color w:val="222222"/>
          <w:sz w:val="22"/>
          <w:szCs w:val="22"/>
          <w:shd w:val="clear" w:color="auto" w:fill="FFFFFF"/>
        </w:rPr>
        <w:t xml:space="preserve">pplied to an urban-rural divide — </w:t>
      </w:r>
      <w:r w:rsidRPr="008A20F1">
        <w:rPr>
          <w:rFonts w:ascii="Georgia" w:eastAsia="Times New Roman" w:hAnsi="Georgia" w:cs="Arial"/>
          <w:color w:val="222222"/>
          <w:sz w:val="22"/>
          <w:szCs w:val="22"/>
          <w:shd w:val="clear" w:color="auto" w:fill="FFFFFF"/>
        </w:rPr>
        <w:t>between the cases, MCS was a good choice and that this provided a unique window for collaboration</w:t>
      </w:r>
      <w:r w:rsidR="008A20F1" w:rsidRPr="008A20F1">
        <w:rPr>
          <w:rFonts w:ascii="Georgia" w:eastAsia="Times New Roman" w:hAnsi="Georgia" w:cs="Arial"/>
          <w:color w:val="222222"/>
          <w:sz w:val="22"/>
          <w:szCs w:val="22"/>
          <w:shd w:val="clear" w:color="auto" w:fill="FFFFFF"/>
        </w:rPr>
        <w:t xml:space="preserve">. </w:t>
      </w:r>
      <w:r w:rsidR="008A20F1">
        <w:rPr>
          <w:rFonts w:ascii="Georgia" w:eastAsia="Times New Roman" w:hAnsi="Georgia" w:cs="Arial"/>
          <w:color w:val="222222"/>
          <w:sz w:val="22"/>
          <w:szCs w:val="22"/>
          <w:shd w:val="clear" w:color="auto" w:fill="FFFFFF"/>
        </w:rPr>
        <w:t>More detail is now given regarding</w:t>
      </w:r>
      <w:r w:rsidRPr="008A20F1">
        <w:rPr>
          <w:rFonts w:ascii="Georgia" w:eastAsia="Times New Roman" w:hAnsi="Georgia" w:cs="Arial"/>
          <w:color w:val="222222"/>
          <w:sz w:val="22"/>
          <w:szCs w:val="22"/>
          <w:shd w:val="clear" w:color="auto" w:fill="FFFFFF"/>
        </w:rPr>
        <w:t xml:space="preserve"> variables like capacity of the wind farms, layout, etc. though we feel extensive comparisons between the two are not necessary for the qual</w:t>
      </w:r>
      <w:r w:rsidR="008A20F1" w:rsidRPr="008A20F1">
        <w:rPr>
          <w:rFonts w:ascii="Georgia" w:eastAsia="Times New Roman" w:hAnsi="Georgia" w:cs="Arial"/>
          <w:color w:val="222222"/>
          <w:sz w:val="22"/>
          <w:szCs w:val="22"/>
          <w:shd w:val="clear" w:color="auto" w:fill="FFFFFF"/>
        </w:rPr>
        <w:t xml:space="preserve">itative nature of this research. </w:t>
      </w:r>
      <w:r w:rsidRPr="008A20F1">
        <w:rPr>
          <w:rFonts w:ascii="Georgia" w:hAnsi="Georgia" w:cs="Arial"/>
          <w:sz w:val="22"/>
          <w:szCs w:val="22"/>
        </w:rPr>
        <w:t xml:space="preserve">Further to this, the key comparable variable is the development or urban governance processes in rural space. A direct comparison between such processes will typically be thwarted by the idiosyncrasies of each development type. Our concern was the progress of these </w:t>
      </w:r>
      <w:r w:rsidRPr="008A20F1">
        <w:rPr>
          <w:rFonts w:ascii="Georgia" w:hAnsi="Georgia" w:cs="Arial"/>
          <w:sz w:val="22"/>
          <w:szCs w:val="22"/>
        </w:rPr>
        <w:lastRenderedPageBreak/>
        <w:t>developments and their comparable spatial lineage from urban ideals to rural landscapes.</w:t>
      </w:r>
    </w:p>
    <w:p w14:paraId="0126500C" w14:textId="77777777" w:rsidR="008A20F1" w:rsidRPr="008A20F1" w:rsidRDefault="008A20F1" w:rsidP="008A20F1">
      <w:pPr>
        <w:rPr>
          <w:rFonts w:ascii="Georgia" w:eastAsia="Times New Roman" w:hAnsi="Georgia" w:cs="Arial"/>
          <w:color w:val="222222"/>
          <w:sz w:val="22"/>
          <w:szCs w:val="22"/>
          <w:shd w:val="clear" w:color="auto" w:fill="FFFFFF"/>
        </w:rPr>
      </w:pPr>
    </w:p>
    <w:p w14:paraId="003303BA" w14:textId="1F4322F3" w:rsidR="008A20F1" w:rsidRPr="008A20F1" w:rsidRDefault="008A20F1" w:rsidP="008A20F1">
      <w:pPr>
        <w:pStyle w:val="ListParagraph"/>
        <w:numPr>
          <w:ilvl w:val="0"/>
          <w:numId w:val="1"/>
        </w:numPr>
        <w:rPr>
          <w:rFonts w:ascii="Georgia" w:eastAsia="Times New Roman" w:hAnsi="Georgia" w:cs="Arial"/>
          <w:color w:val="222222"/>
          <w:sz w:val="22"/>
          <w:szCs w:val="22"/>
          <w:shd w:val="clear" w:color="auto" w:fill="FFFFFF"/>
        </w:rPr>
      </w:pPr>
      <w:r w:rsidRPr="008A20F1">
        <w:rPr>
          <w:rFonts w:ascii="Georgia" w:eastAsia="Times New Roman" w:hAnsi="Georgia" w:cs="Arial"/>
          <w:color w:val="222222"/>
          <w:sz w:val="22"/>
          <w:szCs w:val="22"/>
          <w:shd w:val="clear" w:color="auto" w:fill="FFFFFF"/>
        </w:rPr>
        <w:t xml:space="preserve">We </w:t>
      </w:r>
      <w:r>
        <w:rPr>
          <w:rFonts w:ascii="Georgia" w:eastAsia="Times New Roman" w:hAnsi="Georgia" w:cs="Arial"/>
          <w:color w:val="222222"/>
          <w:sz w:val="22"/>
          <w:szCs w:val="22"/>
          <w:shd w:val="clear" w:color="auto" w:fill="FFFFFF"/>
        </w:rPr>
        <w:t xml:space="preserve">now </w:t>
      </w:r>
      <w:r w:rsidRPr="008A20F1">
        <w:rPr>
          <w:rFonts w:ascii="Georgia" w:eastAsia="Times New Roman" w:hAnsi="Georgia" w:cs="Arial"/>
          <w:color w:val="222222"/>
          <w:sz w:val="22"/>
          <w:szCs w:val="22"/>
          <w:shd w:val="clear" w:color="auto" w:fill="FFFFFF"/>
        </w:rPr>
        <w:t>reference the NIMBY myth early on in the paper just to acknowledge how far the literature has come in recent years as well as to set the stage for the NOPIMPY (No Outside Problems</w:t>
      </w:r>
      <w:r>
        <w:rPr>
          <w:rFonts w:ascii="Georgia" w:eastAsia="Times New Roman" w:hAnsi="Georgia" w:cs="Arial"/>
          <w:color w:val="222222"/>
          <w:sz w:val="22"/>
          <w:szCs w:val="22"/>
          <w:shd w:val="clear" w:color="auto" w:fill="FFFFFF"/>
        </w:rPr>
        <w:t xml:space="preserve"> In My Backyard</w:t>
      </w:r>
      <w:r w:rsidRPr="008A20F1">
        <w:rPr>
          <w:rFonts w:ascii="Georgia" w:eastAsia="Times New Roman" w:hAnsi="Georgia" w:cs="Arial"/>
          <w:color w:val="222222"/>
          <w:sz w:val="22"/>
          <w:szCs w:val="22"/>
          <w:shd w:val="clear" w:color="auto" w:fill="FFFFFF"/>
        </w:rPr>
        <w:t xml:space="preserve">) we find throughout our results and speak to in the discussion. We have now better developed this concept and set it out as a stand-alone paragraph in the introduction, rather than mentioning it in passing in one of the case descriptions as previously done. </w:t>
      </w:r>
    </w:p>
    <w:p w14:paraId="6DA0779A" w14:textId="77777777" w:rsidR="008A20F1" w:rsidRDefault="008A20F1" w:rsidP="008A20F1">
      <w:pPr>
        <w:pStyle w:val="ListParagraph"/>
        <w:rPr>
          <w:rFonts w:ascii="Georgia" w:eastAsia="Times New Roman" w:hAnsi="Georgia" w:cs="Arial"/>
          <w:color w:val="222222"/>
          <w:sz w:val="22"/>
          <w:szCs w:val="22"/>
          <w:shd w:val="clear" w:color="auto" w:fill="FFFFFF"/>
        </w:rPr>
      </w:pPr>
    </w:p>
    <w:p w14:paraId="0D60DA59" w14:textId="45CA896C" w:rsidR="008A20F1" w:rsidRPr="008A20F1" w:rsidRDefault="008A20F1" w:rsidP="008A20F1">
      <w:pPr>
        <w:pStyle w:val="ListParagraph"/>
        <w:rPr>
          <w:rFonts w:ascii="Georgia" w:eastAsia="Times New Roman" w:hAnsi="Georgia" w:cs="Arial"/>
          <w:color w:val="222222"/>
          <w:sz w:val="22"/>
          <w:szCs w:val="22"/>
          <w:shd w:val="clear" w:color="auto" w:fill="FFFFFF"/>
        </w:rPr>
      </w:pPr>
      <w:r w:rsidRPr="008A20F1">
        <w:rPr>
          <w:rFonts w:ascii="Georgia" w:eastAsia="Times New Roman" w:hAnsi="Georgia" w:cs="Arial"/>
          <w:color w:val="222222"/>
          <w:sz w:val="22"/>
          <w:szCs w:val="22"/>
          <w:shd w:val="clear" w:color="auto" w:fill="FFFFFF"/>
        </w:rPr>
        <w:t>A deeper r</w:t>
      </w:r>
      <w:r>
        <w:rPr>
          <w:rFonts w:ascii="Georgia" w:eastAsia="Times New Roman" w:hAnsi="Georgia" w:cs="Arial"/>
          <w:color w:val="222222"/>
          <w:sz w:val="22"/>
          <w:szCs w:val="22"/>
          <w:shd w:val="clear" w:color="auto" w:fill="FFFFFF"/>
        </w:rPr>
        <w:t>eading within the literature that was</w:t>
      </w:r>
      <w:r w:rsidRPr="008A20F1">
        <w:rPr>
          <w:rFonts w:ascii="Georgia" w:eastAsia="Times New Roman" w:hAnsi="Georgia" w:cs="Arial"/>
          <w:color w:val="222222"/>
          <w:sz w:val="22"/>
          <w:szCs w:val="22"/>
          <w:shd w:val="clear" w:color="auto" w:fill="FFFFFF"/>
        </w:rPr>
        <w:t xml:space="preserve"> mention</w:t>
      </w:r>
      <w:r>
        <w:rPr>
          <w:rFonts w:ascii="Georgia" w:eastAsia="Times New Roman" w:hAnsi="Georgia" w:cs="Arial"/>
          <w:color w:val="222222"/>
          <w:sz w:val="22"/>
          <w:szCs w:val="22"/>
          <w:shd w:val="clear" w:color="auto" w:fill="FFFFFF"/>
        </w:rPr>
        <w:t xml:space="preserve">ed was done and the </w:t>
      </w:r>
      <w:r w:rsidRPr="008A20F1">
        <w:rPr>
          <w:rFonts w:ascii="Georgia" w:eastAsia="Times New Roman" w:hAnsi="Georgia" w:cs="Arial"/>
          <w:color w:val="222222"/>
          <w:sz w:val="22"/>
          <w:szCs w:val="22"/>
          <w:shd w:val="clear" w:color="auto" w:fill="FFFFFF"/>
        </w:rPr>
        <w:t>additions have been made to the Introduction and Methods (research context) sections with regard to your suggestions to speak more to acceptance/rejection factors</w:t>
      </w:r>
      <w:r>
        <w:rPr>
          <w:rFonts w:ascii="Georgia" w:eastAsia="Times New Roman" w:hAnsi="Georgia" w:cs="Arial"/>
          <w:color w:val="222222"/>
          <w:sz w:val="22"/>
          <w:szCs w:val="22"/>
          <w:shd w:val="clear" w:color="auto" w:fill="FFFFFF"/>
        </w:rPr>
        <w:t xml:space="preserve">. </w:t>
      </w:r>
      <w:r w:rsidRPr="008A20F1">
        <w:rPr>
          <w:rFonts w:ascii="Georgia" w:eastAsia="Times New Roman" w:hAnsi="Georgia" w:cs="Arial"/>
          <w:color w:val="222222"/>
          <w:sz w:val="22"/>
          <w:szCs w:val="22"/>
          <w:shd w:val="clear" w:color="auto" w:fill="FFFFFF"/>
        </w:rPr>
        <w:t>Indeed, in this way</w:t>
      </w:r>
      <w:r w:rsidRPr="008A20F1">
        <w:rPr>
          <w:rFonts w:ascii="Georgia" w:eastAsia="Times New Roman" w:hAnsi="Georgia" w:cs="Arial"/>
          <w:color w:val="222222"/>
          <w:sz w:val="22"/>
          <w:szCs w:val="22"/>
          <w:shd w:val="clear" w:color="auto" w:fill="FFFFFF"/>
        </w:rPr>
        <w:t xml:space="preserve"> the </w:t>
      </w:r>
      <w:r w:rsidRPr="008A20F1">
        <w:rPr>
          <w:rFonts w:ascii="Georgia" w:eastAsia="Times New Roman" w:hAnsi="Georgia" w:cs="Arial"/>
          <w:color w:val="222222"/>
          <w:sz w:val="22"/>
          <w:szCs w:val="22"/>
          <w:shd w:val="clear" w:color="auto" w:fill="FFFFFF"/>
        </w:rPr>
        <w:t>suggestion to read the recent work from Walker and Fast have proven to be very important to give the reader the latest</w:t>
      </w:r>
      <w:r w:rsidRPr="008A20F1">
        <w:rPr>
          <w:rFonts w:ascii="Georgia" w:eastAsia="Times New Roman" w:hAnsi="Georgia" w:cs="Arial"/>
          <w:color w:val="222222"/>
          <w:sz w:val="22"/>
          <w:szCs w:val="22"/>
          <w:shd w:val="clear" w:color="auto" w:fill="FFFFFF"/>
        </w:rPr>
        <w:t xml:space="preserve"> in</w:t>
      </w:r>
      <w:r w:rsidRPr="008A20F1">
        <w:rPr>
          <w:rFonts w:ascii="Georgia" w:eastAsia="Times New Roman" w:hAnsi="Georgia" w:cs="Arial"/>
          <w:color w:val="222222"/>
          <w:sz w:val="22"/>
          <w:szCs w:val="22"/>
          <w:shd w:val="clear" w:color="auto" w:fill="FFFFFF"/>
        </w:rPr>
        <w:t xml:space="preserve"> this area</w:t>
      </w:r>
    </w:p>
    <w:p w14:paraId="15602136" w14:textId="77777777" w:rsidR="008A20F1" w:rsidRDefault="008A20F1" w:rsidP="008A20F1">
      <w:pPr>
        <w:pStyle w:val="ListParagraph"/>
        <w:rPr>
          <w:rFonts w:ascii="Georgia" w:eastAsia="Times New Roman" w:hAnsi="Georgia" w:cs="Arial"/>
          <w:color w:val="222222"/>
          <w:sz w:val="22"/>
          <w:szCs w:val="22"/>
          <w:shd w:val="clear" w:color="auto" w:fill="FFFFFF"/>
        </w:rPr>
      </w:pPr>
    </w:p>
    <w:p w14:paraId="62EC24EF" w14:textId="46C358B5" w:rsidR="008A20F1" w:rsidRDefault="008A20F1" w:rsidP="008A20F1">
      <w:pPr>
        <w:pStyle w:val="ListParagraph"/>
        <w:numPr>
          <w:ilvl w:val="0"/>
          <w:numId w:val="1"/>
        </w:numPr>
        <w:rPr>
          <w:rFonts w:ascii="Georgia" w:eastAsia="Times New Roman" w:hAnsi="Georgia" w:cs="Arial"/>
          <w:color w:val="222222"/>
          <w:sz w:val="22"/>
          <w:szCs w:val="22"/>
          <w:shd w:val="clear" w:color="auto" w:fill="FFFFFF"/>
        </w:rPr>
      </w:pPr>
      <w:r w:rsidRPr="008A20F1">
        <w:rPr>
          <w:rFonts w:ascii="Georgia" w:eastAsia="Times New Roman" w:hAnsi="Georgia" w:cs="Arial"/>
          <w:color w:val="222222"/>
          <w:sz w:val="22"/>
          <w:szCs w:val="22"/>
          <w:shd w:val="clear" w:color="auto" w:fill="FFFFFF"/>
        </w:rPr>
        <w:t xml:space="preserve">More literature is cited on ideas of </w:t>
      </w:r>
      <w:r w:rsidR="0071735F">
        <w:rPr>
          <w:rFonts w:ascii="Georgia" w:eastAsia="Times New Roman" w:hAnsi="Georgia" w:cs="Arial"/>
          <w:color w:val="222222"/>
          <w:sz w:val="22"/>
          <w:szCs w:val="22"/>
          <w:shd w:val="clear" w:color="auto" w:fill="FFFFFF"/>
        </w:rPr>
        <w:t>procedural and distributive justice</w:t>
      </w:r>
      <w:r w:rsidRPr="008A20F1">
        <w:rPr>
          <w:rFonts w:ascii="Georgia" w:eastAsia="Times New Roman" w:hAnsi="Georgia" w:cs="Arial"/>
          <w:color w:val="222222"/>
          <w:sz w:val="22"/>
          <w:szCs w:val="22"/>
          <w:shd w:val="clear" w:color="auto" w:fill="FFFFFF"/>
        </w:rPr>
        <w:t xml:space="preserve"> related to sustainable developments in the rural landscape</w:t>
      </w:r>
      <w:r w:rsidR="0071735F">
        <w:rPr>
          <w:rFonts w:ascii="Georgia" w:eastAsia="Times New Roman" w:hAnsi="Georgia" w:cs="Arial"/>
          <w:color w:val="222222"/>
          <w:sz w:val="22"/>
          <w:szCs w:val="22"/>
          <w:shd w:val="clear" w:color="auto" w:fill="FFFFFF"/>
        </w:rPr>
        <w:t>;</w:t>
      </w:r>
      <w:r w:rsidRPr="008A20F1">
        <w:rPr>
          <w:rFonts w:ascii="Georgia" w:eastAsia="Times New Roman" w:hAnsi="Georgia" w:cs="Arial"/>
          <w:color w:val="222222"/>
          <w:sz w:val="22"/>
          <w:szCs w:val="22"/>
          <w:shd w:val="clear" w:color="auto" w:fill="FFFFFF"/>
        </w:rPr>
        <w:t xml:space="preserve"> yet we do not</w:t>
      </w:r>
      <w:r w:rsidR="0071735F">
        <w:rPr>
          <w:rFonts w:ascii="Georgia" w:eastAsia="Times New Roman" w:hAnsi="Georgia" w:cs="Arial"/>
          <w:color w:val="222222"/>
          <w:sz w:val="22"/>
          <w:szCs w:val="22"/>
          <w:shd w:val="clear" w:color="auto" w:fill="FFFFFF"/>
        </w:rPr>
        <w:t xml:space="preserve"> elaborate further because that </w:t>
      </w:r>
      <w:r w:rsidRPr="008A20F1">
        <w:rPr>
          <w:rFonts w:ascii="Georgia" w:eastAsia="Times New Roman" w:hAnsi="Georgia" w:cs="Arial"/>
          <w:color w:val="222222"/>
          <w:sz w:val="22"/>
          <w:szCs w:val="22"/>
          <w:shd w:val="clear" w:color="auto" w:fill="FFFFFF"/>
        </w:rPr>
        <w:t>research wa</w:t>
      </w:r>
      <w:r w:rsidR="0071735F">
        <w:rPr>
          <w:rFonts w:ascii="Georgia" w:eastAsia="Times New Roman" w:hAnsi="Georgia" w:cs="Arial"/>
          <w:color w:val="222222"/>
          <w:sz w:val="22"/>
          <w:szCs w:val="22"/>
          <w:shd w:val="clear" w:color="auto" w:fill="FFFFFF"/>
        </w:rPr>
        <w:t>s not set within the emerging environmental justice</w:t>
      </w:r>
      <w:r w:rsidRPr="008A20F1">
        <w:rPr>
          <w:rFonts w:ascii="Georgia" w:eastAsia="Times New Roman" w:hAnsi="Georgia" w:cs="Arial"/>
          <w:color w:val="222222"/>
          <w:sz w:val="22"/>
          <w:szCs w:val="22"/>
          <w:shd w:val="clear" w:color="auto" w:fill="FFFFFF"/>
        </w:rPr>
        <w:t xml:space="preserve"> framework related to rurality and/or the urban-rural stance we take. This issue emerged from our qualitative findings. </w:t>
      </w:r>
    </w:p>
    <w:p w14:paraId="291FEC72" w14:textId="77777777" w:rsidR="008A20F1" w:rsidRDefault="008A20F1" w:rsidP="008A20F1">
      <w:pPr>
        <w:pStyle w:val="ListParagraph"/>
        <w:rPr>
          <w:rFonts w:ascii="Georgia" w:eastAsia="Times New Roman" w:hAnsi="Georgia" w:cs="Arial"/>
          <w:color w:val="222222"/>
          <w:sz w:val="22"/>
          <w:szCs w:val="22"/>
          <w:shd w:val="clear" w:color="auto" w:fill="FFFFFF"/>
        </w:rPr>
      </w:pPr>
    </w:p>
    <w:p w14:paraId="1851C2F0" w14:textId="77777777" w:rsidR="008A20F1" w:rsidRDefault="008A20F1" w:rsidP="008A20F1">
      <w:pPr>
        <w:pStyle w:val="ListParagraph"/>
        <w:rPr>
          <w:rFonts w:ascii="Georgia" w:hAnsi="Georgia" w:cs="Arial"/>
          <w:sz w:val="22"/>
          <w:szCs w:val="22"/>
        </w:rPr>
      </w:pPr>
      <w:r w:rsidRPr="008A20F1">
        <w:rPr>
          <w:rFonts w:ascii="Georgia" w:eastAsia="Times New Roman" w:hAnsi="Georgia" w:cs="Arial"/>
          <w:color w:val="222222"/>
          <w:sz w:val="22"/>
          <w:szCs w:val="22"/>
          <w:shd w:val="clear" w:color="auto" w:fill="FFFFFF"/>
        </w:rPr>
        <w:t xml:space="preserve">We resist the suggestion to create testable ideas through this qualitative research. </w:t>
      </w:r>
      <w:r w:rsidRPr="008A20F1">
        <w:rPr>
          <w:rFonts w:ascii="Georgia" w:hAnsi="Georgia" w:cs="Arial"/>
          <w:sz w:val="22"/>
          <w:szCs w:val="22"/>
        </w:rPr>
        <w:t>While further theorization on rural bias will rely on increased empirical research, our intent is not to influence or hamper future researchers in their design to interrogate the idea. Our goal is to provide evidence for the concept based on existing case study research which organically produced a conceptual vision of urban/rural divide that was grounded in our robust data sets from the respective case studies.</w:t>
      </w:r>
    </w:p>
    <w:p w14:paraId="48BE8976" w14:textId="77777777" w:rsidR="008A20F1" w:rsidRPr="008A20F1" w:rsidRDefault="008A20F1" w:rsidP="008A20F1">
      <w:pPr>
        <w:pStyle w:val="ListParagraph"/>
        <w:rPr>
          <w:rFonts w:ascii="Georgia" w:eastAsia="Times New Roman" w:hAnsi="Georgia" w:cs="Arial"/>
          <w:color w:val="222222"/>
          <w:sz w:val="22"/>
          <w:szCs w:val="22"/>
          <w:shd w:val="clear" w:color="auto" w:fill="FFFFFF"/>
        </w:rPr>
      </w:pPr>
    </w:p>
    <w:p w14:paraId="13B02A10" w14:textId="65FD6CB4" w:rsidR="008A20F1" w:rsidRDefault="008A20F1" w:rsidP="008A20F1">
      <w:pPr>
        <w:pStyle w:val="ListParagraph"/>
        <w:rPr>
          <w:rFonts w:ascii="Georgia" w:hAnsi="Georgia" w:cs="Arial"/>
          <w:sz w:val="22"/>
          <w:szCs w:val="22"/>
        </w:rPr>
      </w:pPr>
      <w:r w:rsidRPr="008A20F1">
        <w:rPr>
          <w:rFonts w:ascii="Georgia" w:hAnsi="Georgia" w:cs="Arial"/>
          <w:sz w:val="22"/>
          <w:szCs w:val="22"/>
        </w:rPr>
        <w:t xml:space="preserve">With specific reference to Section 3, our key engagement with environment justice is the distinction between policy development as a spatial process in the urban and policy implementation as a process on the rural landscape. We argue then that the </w:t>
      </w:r>
      <w:r w:rsidR="0071735F">
        <w:rPr>
          <w:rFonts w:ascii="Georgia" w:hAnsi="Georgia" w:cs="Arial"/>
          <w:sz w:val="22"/>
          <w:szCs w:val="22"/>
        </w:rPr>
        <w:t xml:space="preserve">rurality </w:t>
      </w:r>
      <w:bookmarkStart w:id="0" w:name="_GoBack"/>
      <w:bookmarkEnd w:id="0"/>
      <w:r w:rsidRPr="008A20F1">
        <w:rPr>
          <w:rFonts w:ascii="Georgia" w:hAnsi="Georgia" w:cs="Arial"/>
          <w:sz w:val="22"/>
          <w:szCs w:val="22"/>
        </w:rPr>
        <w:t xml:space="preserve">of a site can be a driving condition of environmental injustice akin to other factors that are marginalized in environmental policy making. We talk about these other groups in the introduction (see “race, class or income”) and argue for this “broadening definition of environmental justice” via rurality within the discussion </w:t>
      </w:r>
    </w:p>
    <w:p w14:paraId="50AC489C" w14:textId="77777777" w:rsidR="008A20F1" w:rsidRPr="008A20F1" w:rsidRDefault="008A20F1" w:rsidP="008A20F1">
      <w:pPr>
        <w:pStyle w:val="ListParagraph"/>
        <w:rPr>
          <w:rFonts w:ascii="Georgia" w:eastAsia="Times New Roman" w:hAnsi="Georgia" w:cs="Arial"/>
          <w:color w:val="222222"/>
          <w:sz w:val="22"/>
          <w:szCs w:val="22"/>
          <w:shd w:val="clear" w:color="auto" w:fill="FFFFFF"/>
        </w:rPr>
      </w:pPr>
    </w:p>
    <w:p w14:paraId="54ED26C2" w14:textId="5E910468" w:rsidR="0014022A" w:rsidRPr="008A20F1" w:rsidRDefault="0071735F" w:rsidP="008A20F1">
      <w:pPr>
        <w:pStyle w:val="ListParagraph"/>
        <w:rPr>
          <w:rFonts w:ascii="Georgia" w:eastAsia="Times New Roman" w:hAnsi="Georgia" w:cs="Arial"/>
          <w:color w:val="222222"/>
          <w:sz w:val="22"/>
          <w:szCs w:val="22"/>
          <w:shd w:val="clear" w:color="auto" w:fill="FFFFFF"/>
        </w:rPr>
      </w:pPr>
      <w:r>
        <w:rPr>
          <w:rFonts w:ascii="Georgia" w:eastAsia="Times New Roman" w:hAnsi="Georgia" w:cs="Arial"/>
          <w:color w:val="222222"/>
          <w:sz w:val="22"/>
          <w:szCs w:val="22"/>
          <w:shd w:val="clear" w:color="auto" w:fill="FFFFFF"/>
        </w:rPr>
        <w:t>While</w:t>
      </w:r>
      <w:r w:rsidR="008A20F1" w:rsidRPr="008A20F1">
        <w:rPr>
          <w:rFonts w:ascii="Georgia" w:eastAsia="Times New Roman" w:hAnsi="Georgia" w:cs="Arial"/>
          <w:color w:val="222222"/>
          <w:sz w:val="22"/>
          <w:szCs w:val="22"/>
          <w:shd w:val="clear" w:color="auto" w:fill="FFFFFF"/>
        </w:rPr>
        <w:t xml:space="preserve"> the discussion around the term</w:t>
      </w:r>
      <w:r>
        <w:rPr>
          <w:rFonts w:ascii="Georgia" w:eastAsia="Times New Roman" w:hAnsi="Georgia" w:cs="Arial"/>
          <w:color w:val="222222"/>
          <w:sz w:val="22"/>
          <w:szCs w:val="22"/>
          <w:shd w:val="clear" w:color="auto" w:fill="FFFFFF"/>
        </w:rPr>
        <w:t xml:space="preserve"> ‘escape’ is </w:t>
      </w:r>
      <w:r w:rsidR="008A20F1" w:rsidRPr="008A20F1">
        <w:rPr>
          <w:rFonts w:ascii="Georgia" w:eastAsia="Times New Roman" w:hAnsi="Georgia" w:cs="Arial"/>
          <w:color w:val="222222"/>
          <w:sz w:val="22"/>
          <w:szCs w:val="22"/>
          <w:shd w:val="clear" w:color="auto" w:fill="FFFFFF"/>
        </w:rPr>
        <w:t xml:space="preserve">not easily </w:t>
      </w:r>
      <w:r>
        <w:rPr>
          <w:rFonts w:ascii="Georgia" w:eastAsia="Times New Roman" w:hAnsi="Georgia" w:cs="Arial"/>
          <w:color w:val="222222"/>
          <w:sz w:val="22"/>
          <w:szCs w:val="22"/>
          <w:shd w:val="clear" w:color="auto" w:fill="FFFFFF"/>
        </w:rPr>
        <w:t>connected to the environmental justice</w:t>
      </w:r>
      <w:r w:rsidR="008A20F1" w:rsidRPr="008A20F1">
        <w:rPr>
          <w:rFonts w:ascii="Georgia" w:eastAsia="Times New Roman" w:hAnsi="Georgia" w:cs="Arial"/>
          <w:color w:val="222222"/>
          <w:sz w:val="22"/>
          <w:szCs w:val="22"/>
          <w:shd w:val="clear" w:color="auto" w:fill="FFFFFF"/>
        </w:rPr>
        <w:t xml:space="preserve"> literature, we include it in this manuscript as it further amplifies residents’ conceptions of urban byproducts and resource production in the rural landscape as out of place and unfairly distributed. As residents’ move to ‘escape’ urban centres, they are set to resist the risks of urban resource and waste management demands perceived to be inequitably distributed. </w:t>
      </w:r>
    </w:p>
    <w:p w14:paraId="0CF86710" w14:textId="77777777" w:rsidR="0071735F" w:rsidRPr="008A20F1" w:rsidRDefault="0071735F" w:rsidP="00307C4A">
      <w:pPr>
        <w:spacing w:line="245" w:lineRule="exact"/>
        <w:rPr>
          <w:rFonts w:ascii="Georgia" w:hAnsi="Georgia" w:cs="Arial"/>
          <w:sz w:val="22"/>
          <w:szCs w:val="22"/>
        </w:rPr>
      </w:pPr>
    </w:p>
    <w:p w14:paraId="45C443AE" w14:textId="77777777" w:rsidR="0071735F" w:rsidRDefault="0071735F" w:rsidP="00307C4A">
      <w:pPr>
        <w:spacing w:line="245" w:lineRule="exact"/>
        <w:rPr>
          <w:rFonts w:ascii="Georgia" w:hAnsi="Georgia" w:cs="Arial"/>
          <w:sz w:val="22"/>
          <w:szCs w:val="22"/>
        </w:rPr>
      </w:pPr>
    </w:p>
    <w:p w14:paraId="23B5A68B" w14:textId="77EFA3D4" w:rsidR="00361C7A" w:rsidRPr="008A20F1" w:rsidRDefault="00307C4A" w:rsidP="00307C4A">
      <w:pPr>
        <w:spacing w:line="245" w:lineRule="exact"/>
        <w:rPr>
          <w:rFonts w:ascii="Georgia" w:hAnsi="Georgia" w:cs="Arial"/>
          <w:sz w:val="22"/>
          <w:szCs w:val="22"/>
        </w:rPr>
      </w:pPr>
      <w:r w:rsidRPr="008A20F1">
        <w:rPr>
          <w:rFonts w:ascii="Georgia" w:hAnsi="Georgia" w:cs="Arial"/>
          <w:sz w:val="22"/>
          <w:szCs w:val="22"/>
        </w:rPr>
        <w:t xml:space="preserve">Sincerely, </w:t>
      </w:r>
    </w:p>
    <w:p w14:paraId="0AC2F1B3" w14:textId="77777777" w:rsidR="00361C7A" w:rsidRPr="008A20F1" w:rsidRDefault="00361C7A" w:rsidP="00307C4A">
      <w:pPr>
        <w:spacing w:line="245" w:lineRule="exact"/>
        <w:rPr>
          <w:rFonts w:ascii="Georgia" w:hAnsi="Georgia" w:cs="Arial"/>
          <w:sz w:val="22"/>
          <w:szCs w:val="22"/>
        </w:rPr>
      </w:pPr>
    </w:p>
    <w:p w14:paraId="5A19476F" w14:textId="400F3D76" w:rsidR="00361C7A" w:rsidRPr="008A20F1" w:rsidRDefault="00361C7A" w:rsidP="00307C4A">
      <w:pPr>
        <w:spacing w:line="245" w:lineRule="exact"/>
        <w:rPr>
          <w:rFonts w:ascii="Georgia" w:hAnsi="Georgia" w:cs="Arial"/>
          <w:sz w:val="22"/>
          <w:szCs w:val="22"/>
        </w:rPr>
      </w:pPr>
      <w:r w:rsidRPr="008A20F1">
        <w:rPr>
          <w:rFonts w:ascii="Georgia" w:hAnsi="Georgia" w:cs="Arial"/>
          <w:noProof/>
          <w:sz w:val="22"/>
          <w:szCs w:val="22"/>
        </w:rPr>
        <w:drawing>
          <wp:inline distT="0" distB="0" distL="0" distR="0" wp14:anchorId="66324874" wp14:editId="233005CD">
            <wp:extent cx="2209800" cy="171450"/>
            <wp:effectExtent l="0" t="0" r="0" b="0"/>
            <wp:docPr id="1" name="Picture 1" descr="C:\Users\cwalke26\AppData\Local\Microsoft\Windows\Temporary Internet Files\Content.IE5\Q9DO5X6Y\1258014844372100011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walke26\AppData\Local\Microsoft\Windows\Temporary Internet Files\Content.IE5\Q9DO5X6Y\125801484437210001121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171450"/>
                    </a:xfrm>
                    <a:prstGeom prst="rect">
                      <a:avLst/>
                    </a:prstGeom>
                    <a:noFill/>
                    <a:ln>
                      <a:noFill/>
                    </a:ln>
                  </pic:spPr>
                </pic:pic>
              </a:graphicData>
            </a:graphic>
          </wp:inline>
        </w:drawing>
      </w:r>
    </w:p>
    <w:p w14:paraId="740F8322" w14:textId="77777777" w:rsidR="00361C7A" w:rsidRPr="008A20F1" w:rsidRDefault="00361C7A" w:rsidP="00307C4A">
      <w:pPr>
        <w:spacing w:line="245" w:lineRule="exact"/>
        <w:rPr>
          <w:rFonts w:ascii="Georgia" w:hAnsi="Georgia" w:cs="Arial"/>
          <w:sz w:val="22"/>
          <w:szCs w:val="22"/>
        </w:rPr>
      </w:pPr>
    </w:p>
    <w:p w14:paraId="71A0F700" w14:textId="6D047851" w:rsidR="00361C7A" w:rsidRPr="008A20F1" w:rsidRDefault="00EB0A78" w:rsidP="00307C4A">
      <w:pPr>
        <w:spacing w:line="245" w:lineRule="exact"/>
        <w:rPr>
          <w:rFonts w:ascii="Georgia" w:hAnsi="Georgia" w:cs="Arial"/>
          <w:sz w:val="22"/>
          <w:szCs w:val="22"/>
        </w:rPr>
      </w:pPr>
      <w:r w:rsidRPr="008A20F1">
        <w:rPr>
          <w:rFonts w:ascii="Georgia" w:hAnsi="Georgia" w:cs="Arial"/>
          <w:sz w:val="22"/>
          <w:szCs w:val="22"/>
        </w:rPr>
        <w:t xml:space="preserve">Dr. </w:t>
      </w:r>
      <w:r w:rsidR="00361C7A" w:rsidRPr="008A20F1">
        <w:rPr>
          <w:rFonts w:ascii="Georgia" w:hAnsi="Georgia" w:cs="Arial"/>
          <w:sz w:val="22"/>
          <w:szCs w:val="22"/>
        </w:rPr>
        <w:t>Chad J.R. Walker</w:t>
      </w:r>
    </w:p>
    <w:p w14:paraId="373D9EAF" w14:textId="538A2C26" w:rsidR="00307C4A" w:rsidRPr="008A20F1" w:rsidRDefault="00EB0A78" w:rsidP="00307C4A">
      <w:pPr>
        <w:spacing w:line="245" w:lineRule="exact"/>
        <w:rPr>
          <w:rFonts w:ascii="Georgia" w:hAnsi="Georgia" w:cs="Arial"/>
          <w:sz w:val="22"/>
          <w:szCs w:val="22"/>
        </w:rPr>
      </w:pPr>
      <w:r w:rsidRPr="008A20F1">
        <w:rPr>
          <w:rFonts w:ascii="Georgia" w:hAnsi="Georgia" w:cs="Arial"/>
          <w:sz w:val="22"/>
          <w:szCs w:val="22"/>
        </w:rPr>
        <w:t>Postdoctoral Fellow</w:t>
      </w:r>
    </w:p>
    <w:p w14:paraId="108041EB" w14:textId="4860D47B" w:rsidR="00A551B2" w:rsidRPr="0071735F" w:rsidRDefault="0071735F" w:rsidP="0071735F">
      <w:pPr>
        <w:spacing w:line="245" w:lineRule="exact"/>
        <w:rPr>
          <w:rFonts w:ascii="Arial" w:hAnsi="Arial" w:cs="Arial"/>
          <w:sz w:val="20"/>
          <w:szCs w:val="20"/>
        </w:rPr>
      </w:pPr>
      <w:r>
        <w:rPr>
          <w:rFonts w:ascii="Georgia" w:hAnsi="Georgia" w:cs="Arial"/>
          <w:sz w:val="22"/>
          <w:szCs w:val="22"/>
        </w:rPr>
        <w:t>Queen’s University</w:t>
      </w:r>
    </w:p>
    <w:sectPr w:rsidR="00A551B2" w:rsidRPr="0071735F" w:rsidSect="0014022A">
      <w:headerReference w:type="first" r:id="rId9"/>
      <w:footerReference w:type="first" r:id="rId10"/>
      <w:pgSz w:w="12240" w:h="15840"/>
      <w:pgMar w:top="1440" w:right="1440" w:bottom="1440" w:left="1440" w:header="709" w:footer="59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3573D" w14:textId="77777777" w:rsidR="00246CD7" w:rsidRDefault="00246CD7" w:rsidP="00A551B2">
      <w:r>
        <w:separator/>
      </w:r>
    </w:p>
  </w:endnote>
  <w:endnote w:type="continuationSeparator" w:id="0">
    <w:p w14:paraId="3CDD39F5" w14:textId="77777777" w:rsidR="00246CD7" w:rsidRDefault="00246CD7" w:rsidP="00A5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812AC" w14:textId="6296F11C" w:rsidR="005B040F" w:rsidRDefault="005B040F" w:rsidP="0055051A">
    <w:pPr>
      <w:pStyle w:val="Footer"/>
      <w:tabs>
        <w:tab w:val="clear" w:pos="4320"/>
        <w:tab w:val="clear" w:pos="8640"/>
        <w:tab w:val="left" w:pos="628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9D320" w14:textId="77777777" w:rsidR="00246CD7" w:rsidRDefault="00246CD7" w:rsidP="00A551B2">
      <w:r>
        <w:separator/>
      </w:r>
    </w:p>
  </w:footnote>
  <w:footnote w:type="continuationSeparator" w:id="0">
    <w:p w14:paraId="28742B1C" w14:textId="77777777" w:rsidR="00246CD7" w:rsidRDefault="00246CD7" w:rsidP="00A551B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DCB16" w14:textId="77777777" w:rsidR="0081703E" w:rsidRDefault="0081703E" w:rsidP="0081703E">
    <w:pPr>
      <w:pStyle w:val="Header"/>
      <w:tabs>
        <w:tab w:val="clear" w:pos="4320"/>
        <w:tab w:val="clear" w:pos="8640"/>
        <w:tab w:val="left" w:pos="6387"/>
      </w:tabs>
    </w:pPr>
    <w:r w:rsidRPr="0081703E">
      <w:rPr>
        <w:noProof/>
      </w:rPr>
      <w:drawing>
        <wp:inline distT="0" distB="0" distL="0" distR="0" wp14:anchorId="017DD71C" wp14:editId="5A1DC4F7">
          <wp:extent cx="1320800" cy="1028700"/>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3301" r="14706"/>
                  <a:stretch/>
                </pic:blipFill>
                <pic:spPr bwMode="auto">
                  <a:xfrm>
                    <a:off x="0" y="0"/>
                    <a:ext cx="1335824" cy="1040401"/>
                  </a:xfrm>
                  <a:prstGeom prst="rect">
                    <a:avLst/>
                  </a:prstGeom>
                  <a:ln>
                    <a:noFill/>
                  </a:ln>
                  <a:extLst>
                    <a:ext uri="{53640926-AAD7-44D8-BBD7-CCE9431645EC}">
                      <a14:shadowObscured xmlns:a14="http://schemas.microsoft.com/office/drawing/2010/main"/>
                    </a:ext>
                  </a:extLst>
                </pic:spPr>
              </pic:pic>
            </a:graphicData>
          </a:graphic>
        </wp:inline>
      </w:drawing>
    </w:r>
    <w:r>
      <w:tab/>
    </w:r>
  </w:p>
  <w:p w14:paraId="4D0C3A80" w14:textId="243210A7" w:rsidR="0081703E" w:rsidRDefault="0081703E" w:rsidP="0014022A">
    <w:pPr>
      <w:pStyle w:val="Header"/>
      <w:tabs>
        <w:tab w:val="clear" w:pos="4320"/>
        <w:tab w:val="clear" w:pos="8640"/>
        <w:tab w:val="left" w:pos="6387"/>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63185"/>
    <w:multiLevelType w:val="hybridMultilevel"/>
    <w:tmpl w:val="76645A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D7312E"/>
    <w:multiLevelType w:val="hybridMultilevel"/>
    <w:tmpl w:val="6520E028"/>
    <w:lvl w:ilvl="0" w:tplc="4556818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1B2"/>
    <w:rsid w:val="00013BA0"/>
    <w:rsid w:val="000450CE"/>
    <w:rsid w:val="000732D9"/>
    <w:rsid w:val="00092270"/>
    <w:rsid w:val="000929DD"/>
    <w:rsid w:val="000D3646"/>
    <w:rsid w:val="0014022A"/>
    <w:rsid w:val="00152ADF"/>
    <w:rsid w:val="00216361"/>
    <w:rsid w:val="00217D07"/>
    <w:rsid w:val="00246CD7"/>
    <w:rsid w:val="00276F0E"/>
    <w:rsid w:val="002A15C7"/>
    <w:rsid w:val="002A75C2"/>
    <w:rsid w:val="002E6589"/>
    <w:rsid w:val="002F4012"/>
    <w:rsid w:val="00307C4A"/>
    <w:rsid w:val="0033757A"/>
    <w:rsid w:val="00357218"/>
    <w:rsid w:val="00361C7A"/>
    <w:rsid w:val="00362289"/>
    <w:rsid w:val="003628A4"/>
    <w:rsid w:val="003A685F"/>
    <w:rsid w:val="003B2EE3"/>
    <w:rsid w:val="003C13D8"/>
    <w:rsid w:val="003D1218"/>
    <w:rsid w:val="003F4894"/>
    <w:rsid w:val="004010A2"/>
    <w:rsid w:val="00441185"/>
    <w:rsid w:val="004441D3"/>
    <w:rsid w:val="004752FB"/>
    <w:rsid w:val="004824D7"/>
    <w:rsid w:val="004A4C9E"/>
    <w:rsid w:val="004C3CEE"/>
    <w:rsid w:val="004C5FB0"/>
    <w:rsid w:val="005041C9"/>
    <w:rsid w:val="00504D69"/>
    <w:rsid w:val="00507DA0"/>
    <w:rsid w:val="005143B9"/>
    <w:rsid w:val="00517E3B"/>
    <w:rsid w:val="00520224"/>
    <w:rsid w:val="005266A7"/>
    <w:rsid w:val="00530C37"/>
    <w:rsid w:val="0055051A"/>
    <w:rsid w:val="00550C46"/>
    <w:rsid w:val="005772CE"/>
    <w:rsid w:val="005B040F"/>
    <w:rsid w:val="005E59A1"/>
    <w:rsid w:val="006076B2"/>
    <w:rsid w:val="0064170E"/>
    <w:rsid w:val="00643721"/>
    <w:rsid w:val="00651071"/>
    <w:rsid w:val="0067609D"/>
    <w:rsid w:val="00682104"/>
    <w:rsid w:val="0071735F"/>
    <w:rsid w:val="00743765"/>
    <w:rsid w:val="007A4368"/>
    <w:rsid w:val="007F6136"/>
    <w:rsid w:val="0081703E"/>
    <w:rsid w:val="00876F01"/>
    <w:rsid w:val="00883EA1"/>
    <w:rsid w:val="00897EDB"/>
    <w:rsid w:val="008A20F1"/>
    <w:rsid w:val="008D4825"/>
    <w:rsid w:val="008E44B6"/>
    <w:rsid w:val="009500E1"/>
    <w:rsid w:val="00962373"/>
    <w:rsid w:val="00967B26"/>
    <w:rsid w:val="009831D7"/>
    <w:rsid w:val="009915C0"/>
    <w:rsid w:val="009926DC"/>
    <w:rsid w:val="009A0112"/>
    <w:rsid w:val="009A125E"/>
    <w:rsid w:val="009A3CA7"/>
    <w:rsid w:val="009B051F"/>
    <w:rsid w:val="009E7EAE"/>
    <w:rsid w:val="009F5DBD"/>
    <w:rsid w:val="00A407CB"/>
    <w:rsid w:val="00A45973"/>
    <w:rsid w:val="00A45BC7"/>
    <w:rsid w:val="00A45C46"/>
    <w:rsid w:val="00A551B2"/>
    <w:rsid w:val="00A9051C"/>
    <w:rsid w:val="00AA2777"/>
    <w:rsid w:val="00AA27F2"/>
    <w:rsid w:val="00AA76B9"/>
    <w:rsid w:val="00B23DE2"/>
    <w:rsid w:val="00B94E66"/>
    <w:rsid w:val="00BF3E6A"/>
    <w:rsid w:val="00C26D84"/>
    <w:rsid w:val="00C35706"/>
    <w:rsid w:val="00C821C9"/>
    <w:rsid w:val="00C932E0"/>
    <w:rsid w:val="00CA7979"/>
    <w:rsid w:val="00D03673"/>
    <w:rsid w:val="00D23313"/>
    <w:rsid w:val="00D32AAC"/>
    <w:rsid w:val="00D3472F"/>
    <w:rsid w:val="00D40C1C"/>
    <w:rsid w:val="00D96E02"/>
    <w:rsid w:val="00DB5405"/>
    <w:rsid w:val="00DC01D6"/>
    <w:rsid w:val="00E7488D"/>
    <w:rsid w:val="00EB0A78"/>
    <w:rsid w:val="00F10DE5"/>
    <w:rsid w:val="00F5132C"/>
    <w:rsid w:val="00F96914"/>
    <w:rsid w:val="00FC40EF"/>
    <w:rsid w:val="00FC4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B5F06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07C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1B2"/>
    <w:pPr>
      <w:tabs>
        <w:tab w:val="center" w:pos="4320"/>
        <w:tab w:val="right" w:pos="8640"/>
      </w:tabs>
    </w:pPr>
  </w:style>
  <w:style w:type="character" w:customStyle="1" w:styleId="HeaderChar">
    <w:name w:val="Header Char"/>
    <w:basedOn w:val="DefaultParagraphFont"/>
    <w:link w:val="Header"/>
    <w:uiPriority w:val="99"/>
    <w:rsid w:val="00A551B2"/>
  </w:style>
  <w:style w:type="paragraph" w:styleId="Footer">
    <w:name w:val="footer"/>
    <w:basedOn w:val="Normal"/>
    <w:link w:val="FooterChar"/>
    <w:uiPriority w:val="99"/>
    <w:unhideWhenUsed/>
    <w:rsid w:val="00A551B2"/>
    <w:pPr>
      <w:tabs>
        <w:tab w:val="center" w:pos="4320"/>
        <w:tab w:val="right" w:pos="8640"/>
      </w:tabs>
    </w:pPr>
  </w:style>
  <w:style w:type="character" w:customStyle="1" w:styleId="FooterChar">
    <w:name w:val="Footer Char"/>
    <w:basedOn w:val="DefaultParagraphFont"/>
    <w:link w:val="Footer"/>
    <w:uiPriority w:val="99"/>
    <w:rsid w:val="00A551B2"/>
  </w:style>
  <w:style w:type="paragraph" w:styleId="BalloonText">
    <w:name w:val="Balloon Text"/>
    <w:basedOn w:val="Normal"/>
    <w:link w:val="BalloonTextChar"/>
    <w:uiPriority w:val="99"/>
    <w:semiHidden/>
    <w:unhideWhenUsed/>
    <w:rsid w:val="008D48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4825"/>
    <w:rPr>
      <w:rFonts w:ascii="Lucida Grande" w:hAnsi="Lucida Grande" w:cs="Lucida Grande"/>
      <w:sz w:val="18"/>
      <w:szCs w:val="18"/>
    </w:rPr>
  </w:style>
  <w:style w:type="paragraph" w:styleId="ListParagraph">
    <w:name w:val="List Paragraph"/>
    <w:basedOn w:val="Normal"/>
    <w:uiPriority w:val="34"/>
    <w:qFormat/>
    <w:rsid w:val="0014022A"/>
    <w:pPr>
      <w:ind w:left="720"/>
      <w:contextualSpacing/>
    </w:pPr>
  </w:style>
  <w:style w:type="paragraph" w:styleId="CommentText">
    <w:name w:val="annotation text"/>
    <w:basedOn w:val="Normal"/>
    <w:link w:val="CommentTextChar"/>
    <w:uiPriority w:val="99"/>
    <w:unhideWhenUsed/>
    <w:rsid w:val="0014022A"/>
    <w:rPr>
      <w:rFonts w:eastAsiaTheme="minorHAnsi"/>
    </w:rPr>
  </w:style>
  <w:style w:type="character" w:customStyle="1" w:styleId="CommentTextChar">
    <w:name w:val="Comment Text Char"/>
    <w:basedOn w:val="DefaultParagraphFont"/>
    <w:link w:val="CommentText"/>
    <w:uiPriority w:val="99"/>
    <w:rsid w:val="0014022A"/>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C4E2E-F654-B643-B1CD-7BF2F43AB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850</Words>
  <Characters>4849</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UWO</Company>
  <LinksUpToDate>false</LinksUpToDate>
  <CharactersWithSpaces>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Wilson</dc:creator>
  <cp:lastModifiedBy>Chad Walker</cp:lastModifiedBy>
  <cp:revision>2</cp:revision>
  <cp:lastPrinted>2011-12-13T15:34:00Z</cp:lastPrinted>
  <dcterms:created xsi:type="dcterms:W3CDTF">2018-04-27T00:18:00Z</dcterms:created>
  <dcterms:modified xsi:type="dcterms:W3CDTF">2018-04-27T00:18:00Z</dcterms:modified>
</cp:coreProperties>
</file>