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75"/>
        <w:gridCol w:w="4675"/>
      </w:tblGrid>
      <w:tr w:rsidR="0019731F" w:rsidRPr="001C300D" w14:paraId="1B910602" w14:textId="77777777" w:rsidTr="0019731F">
        <w:tc>
          <w:tcPr>
            <w:tcW w:w="4675" w:type="dxa"/>
            <w:shd w:val="clear" w:color="auto" w:fill="D9D9D9" w:themeFill="background1" w:themeFillShade="D9"/>
          </w:tcPr>
          <w:p w14:paraId="155F6A84" w14:textId="77777777" w:rsidR="0019731F" w:rsidRPr="001C300D" w:rsidRDefault="0019731F" w:rsidP="0019731F">
            <w:pPr>
              <w:jc w:val="center"/>
              <w:rPr>
                <w:rFonts w:cstheme="minorHAnsi"/>
                <w:b/>
              </w:rPr>
            </w:pPr>
            <w:r w:rsidRPr="001C300D">
              <w:rPr>
                <w:rFonts w:cstheme="minorHAnsi"/>
                <w:b/>
              </w:rPr>
              <w:t>Reviewer 1 Comment</w:t>
            </w:r>
          </w:p>
        </w:tc>
        <w:tc>
          <w:tcPr>
            <w:tcW w:w="4675" w:type="dxa"/>
            <w:shd w:val="clear" w:color="auto" w:fill="D9D9D9" w:themeFill="background1" w:themeFillShade="D9"/>
          </w:tcPr>
          <w:p w14:paraId="0886199B" w14:textId="77777777" w:rsidR="0019731F" w:rsidRPr="001C300D" w:rsidRDefault="0019731F" w:rsidP="0019731F">
            <w:pPr>
              <w:jc w:val="center"/>
              <w:rPr>
                <w:rFonts w:cstheme="minorHAnsi"/>
                <w:b/>
              </w:rPr>
            </w:pPr>
            <w:r w:rsidRPr="001C300D">
              <w:rPr>
                <w:rFonts w:cstheme="minorHAnsi"/>
                <w:b/>
              </w:rPr>
              <w:t>Authors Response</w:t>
            </w:r>
          </w:p>
        </w:tc>
      </w:tr>
      <w:tr w:rsidR="0019731F" w:rsidRPr="001C300D" w14:paraId="2C7AA0AA" w14:textId="77777777" w:rsidTr="0019731F">
        <w:tc>
          <w:tcPr>
            <w:tcW w:w="4675" w:type="dxa"/>
          </w:tcPr>
          <w:p w14:paraId="25A04522" w14:textId="77777777" w:rsidR="0019731F" w:rsidRPr="001C300D" w:rsidRDefault="0019731F" w:rsidP="00CA551A">
            <w:pPr>
              <w:numPr>
                <w:ilvl w:val="0"/>
                <w:numId w:val="1"/>
              </w:numPr>
              <w:tabs>
                <w:tab w:val="clear" w:pos="720"/>
                <w:tab w:val="num" w:pos="426"/>
              </w:tabs>
              <w:spacing w:before="100" w:beforeAutospacing="1" w:after="100" w:afterAutospacing="1"/>
              <w:ind w:left="426" w:hanging="284"/>
              <w:rPr>
                <w:rFonts w:eastAsia="Times New Roman" w:cstheme="minorHAnsi"/>
                <w:color w:val="000000"/>
              </w:rPr>
            </w:pPr>
            <w:r w:rsidRPr="001C300D">
              <w:rPr>
                <w:rFonts w:eastAsia="Times New Roman" w:cstheme="minorHAnsi"/>
                <w:color w:val="000000"/>
                <w:lang w:val="en-CA"/>
              </w:rPr>
              <w:t>As an addition to the discussion -- The communities that chose to emphasize resource development (oil and gas), how are they faring compared to the tourism development communities? Discuss differences/similarities (if possible).</w:t>
            </w:r>
          </w:p>
        </w:tc>
        <w:tc>
          <w:tcPr>
            <w:tcW w:w="4675" w:type="dxa"/>
          </w:tcPr>
          <w:p w14:paraId="1088EAFE" w14:textId="06D2D574" w:rsidR="0019731F" w:rsidRPr="002F04BC" w:rsidRDefault="00E259CF">
            <w:pPr>
              <w:rPr>
                <w:rFonts w:eastAsia="Times New Roman" w:cstheme="minorHAnsi"/>
                <w:color w:val="000000"/>
              </w:rPr>
            </w:pPr>
            <w:r w:rsidRPr="001C300D">
              <w:rPr>
                <w:rFonts w:cstheme="minorHAnsi"/>
              </w:rPr>
              <w:t>W</w:t>
            </w:r>
            <w:r w:rsidR="00A31FD5" w:rsidRPr="001C300D">
              <w:rPr>
                <w:rFonts w:cstheme="minorHAnsi"/>
              </w:rPr>
              <w:t>hile a comparative analysis of communities that chose to emphasize resource development and those with heritage tourism development initiatives would be interesting a</w:t>
            </w:r>
            <w:r w:rsidR="008D2AF4" w:rsidRPr="001C300D">
              <w:rPr>
                <w:rFonts w:cstheme="minorHAnsi"/>
              </w:rPr>
              <w:t>nd</w:t>
            </w:r>
            <w:r w:rsidR="00A31FD5" w:rsidRPr="001C300D">
              <w:rPr>
                <w:rFonts w:cstheme="minorHAnsi"/>
              </w:rPr>
              <w:t xml:space="preserve"> u</w:t>
            </w:r>
            <w:r w:rsidRPr="001C300D">
              <w:rPr>
                <w:rFonts w:cstheme="minorHAnsi"/>
              </w:rPr>
              <w:t xml:space="preserve">seful, the authors feel it </w:t>
            </w:r>
            <w:r w:rsidR="008D2AF4" w:rsidRPr="001C300D">
              <w:rPr>
                <w:rFonts w:cstheme="minorHAnsi"/>
              </w:rPr>
              <w:t>would not fit</w:t>
            </w:r>
            <w:r w:rsidR="00A31FD5" w:rsidRPr="001C300D">
              <w:rPr>
                <w:rFonts w:cstheme="minorHAnsi"/>
              </w:rPr>
              <w:t xml:space="preserve"> the scope of this</w:t>
            </w:r>
            <w:r w:rsidR="00EE0D81">
              <w:rPr>
                <w:rFonts w:cstheme="minorHAnsi"/>
              </w:rPr>
              <w:t xml:space="preserve"> paper or word count</w:t>
            </w:r>
            <w:r w:rsidR="00DA467D">
              <w:rPr>
                <w:rFonts w:cstheme="minorHAnsi"/>
              </w:rPr>
              <w:t>; however, two</w:t>
            </w:r>
            <w:r w:rsidR="00A31FD5" w:rsidRPr="001C300D">
              <w:rPr>
                <w:rFonts w:cstheme="minorHAnsi"/>
              </w:rPr>
              <w:t xml:space="preserve"> sentence</w:t>
            </w:r>
            <w:r w:rsidR="00DA467D">
              <w:rPr>
                <w:rFonts w:cstheme="minorHAnsi"/>
              </w:rPr>
              <w:t>s have</w:t>
            </w:r>
            <w:r w:rsidR="00A31FD5" w:rsidRPr="001C300D">
              <w:rPr>
                <w:rFonts w:cstheme="minorHAnsi"/>
              </w:rPr>
              <w:t xml:space="preserve"> be</w:t>
            </w:r>
            <w:r w:rsidR="008D2AF4" w:rsidRPr="001C300D">
              <w:rPr>
                <w:rFonts w:cstheme="minorHAnsi"/>
              </w:rPr>
              <w:t>en added to address the opportunities and challenges presented by resource</w:t>
            </w:r>
            <w:r w:rsidR="008D2AF4" w:rsidRPr="002F04BC">
              <w:rPr>
                <w:rFonts w:cstheme="minorHAnsi"/>
              </w:rPr>
              <w:t xml:space="preserve"> development</w:t>
            </w:r>
            <w:r w:rsidR="00743554" w:rsidRPr="002F04BC">
              <w:rPr>
                <w:rFonts w:cstheme="minorHAnsi"/>
              </w:rPr>
              <w:t xml:space="preserve"> in NL on page 5</w:t>
            </w:r>
            <w:r w:rsidRPr="002F04BC">
              <w:rPr>
                <w:rFonts w:cstheme="minorHAnsi"/>
              </w:rPr>
              <w:t xml:space="preserve">: </w:t>
            </w:r>
          </w:p>
          <w:p w14:paraId="6FABCA3E" w14:textId="3A475045" w:rsidR="00E259CF" w:rsidRPr="001C300D" w:rsidRDefault="00DA467D">
            <w:pPr>
              <w:rPr>
                <w:rFonts w:cstheme="minorHAnsi"/>
              </w:rPr>
            </w:pPr>
            <w:r w:rsidRPr="002F04BC">
              <w:rPr>
                <w:rFonts w:eastAsia="Times New Roman" w:cstheme="minorHAnsi"/>
                <w:color w:val="000000"/>
              </w:rPr>
              <w:t>“</w:t>
            </w:r>
            <w:r w:rsidR="002F04BC" w:rsidRPr="002F04BC">
              <w:rPr>
                <w:rFonts w:eastAsia="Times New Roman" w:cstheme="minorHAnsi"/>
                <w:color w:val="000000"/>
              </w:rPr>
              <w:t>Extractive resource development saw increased oil and gas-related ventures in the province, which were credited with building a ‘new economy’ and transforming NL to a ‘have’ from a ‘have-not’ province (Springuel, 2011). Whether this kind of economic development is sustainable in the long-term has come into question, along with concerns about the concentration of benefits in urban centres (Barber, 2016; Vodden et al., 2014).</w:t>
            </w:r>
            <w:r w:rsidR="002F04BC" w:rsidRPr="002F04BC">
              <w:rPr>
                <w:rFonts w:eastAsia="Times New Roman" w:cstheme="minorHAnsi"/>
                <w:color w:val="000000"/>
              </w:rPr>
              <w:t>”</w:t>
            </w:r>
          </w:p>
        </w:tc>
      </w:tr>
      <w:tr w:rsidR="0019731F" w:rsidRPr="001C300D" w14:paraId="6A604E84" w14:textId="77777777" w:rsidTr="0019731F">
        <w:tc>
          <w:tcPr>
            <w:tcW w:w="4675" w:type="dxa"/>
          </w:tcPr>
          <w:p w14:paraId="77726236" w14:textId="77777777" w:rsidR="0019731F" w:rsidRPr="001C300D" w:rsidRDefault="0019731F" w:rsidP="00CA551A">
            <w:pPr>
              <w:numPr>
                <w:ilvl w:val="0"/>
                <w:numId w:val="1"/>
              </w:numPr>
              <w:tabs>
                <w:tab w:val="clear" w:pos="720"/>
                <w:tab w:val="num" w:pos="426"/>
              </w:tabs>
              <w:spacing w:before="100" w:beforeAutospacing="1" w:after="100" w:afterAutospacing="1"/>
              <w:ind w:left="426" w:hanging="284"/>
              <w:rPr>
                <w:rFonts w:eastAsia="Times New Roman" w:cstheme="minorHAnsi"/>
                <w:color w:val="000000"/>
              </w:rPr>
            </w:pPr>
            <w:r w:rsidRPr="001C300D">
              <w:rPr>
                <w:rFonts w:eastAsia="Times New Roman" w:cstheme="minorHAnsi"/>
                <w:color w:val="000000"/>
                <w:lang w:val="en-CA"/>
              </w:rPr>
              <w:t>Provide map showing location of places, if possible. Provides better context. Maybe also some photos to help situate the reader?</w:t>
            </w:r>
          </w:p>
        </w:tc>
        <w:tc>
          <w:tcPr>
            <w:tcW w:w="4675" w:type="dxa"/>
          </w:tcPr>
          <w:p w14:paraId="7A2EA441" w14:textId="491029CB" w:rsidR="007376A5" w:rsidRPr="001C300D" w:rsidRDefault="00B22B85">
            <w:pPr>
              <w:rPr>
                <w:rFonts w:cstheme="minorHAnsi"/>
              </w:rPr>
            </w:pPr>
            <w:r w:rsidRPr="001C300D">
              <w:rPr>
                <w:rFonts w:cstheme="minorHAnsi"/>
              </w:rPr>
              <w:t>A map has been added to the “Introduction to Case Studies” section, in addition to photos of each of the three case studies</w:t>
            </w:r>
            <w:r w:rsidR="00DE5783">
              <w:rPr>
                <w:rFonts w:cstheme="minorHAnsi"/>
              </w:rPr>
              <w:t xml:space="preserve"> throughout the paper</w:t>
            </w:r>
            <w:r w:rsidRPr="001C300D">
              <w:rPr>
                <w:rFonts w:cstheme="minorHAnsi"/>
              </w:rPr>
              <w:t>.</w:t>
            </w:r>
          </w:p>
        </w:tc>
      </w:tr>
      <w:tr w:rsidR="0019731F" w:rsidRPr="001C300D" w14:paraId="4265BDA7" w14:textId="77777777" w:rsidTr="0019731F">
        <w:tc>
          <w:tcPr>
            <w:tcW w:w="4675" w:type="dxa"/>
          </w:tcPr>
          <w:p w14:paraId="0BB1165E" w14:textId="77777777" w:rsidR="0019731F" w:rsidRPr="001C300D" w:rsidRDefault="0019731F" w:rsidP="00CA551A">
            <w:pPr>
              <w:numPr>
                <w:ilvl w:val="0"/>
                <w:numId w:val="1"/>
              </w:numPr>
              <w:tabs>
                <w:tab w:val="clear" w:pos="720"/>
                <w:tab w:val="num" w:pos="426"/>
              </w:tabs>
              <w:spacing w:before="100" w:beforeAutospacing="1" w:after="100" w:afterAutospacing="1"/>
              <w:ind w:left="426" w:hanging="284"/>
              <w:rPr>
                <w:rFonts w:eastAsia="Times New Roman" w:cstheme="minorHAnsi"/>
                <w:color w:val="000000"/>
              </w:rPr>
            </w:pPr>
            <w:r w:rsidRPr="001C300D">
              <w:rPr>
                <w:rFonts w:eastAsia="Times New Roman" w:cstheme="minorHAnsi"/>
                <w:color w:val="000000"/>
                <w:lang w:val="en-CA"/>
              </w:rPr>
              <w:t>Introduce/define the forms of capital much sooner, maybe in the lit review section as part of the introduction to rural community capitals framework. Right now, they are only mentioned (not defined) prior to the analysis/results section.</w:t>
            </w:r>
          </w:p>
        </w:tc>
        <w:tc>
          <w:tcPr>
            <w:tcW w:w="4675" w:type="dxa"/>
          </w:tcPr>
          <w:p w14:paraId="23B3C3A8" w14:textId="77777777" w:rsidR="0019731F" w:rsidRPr="001C300D" w:rsidRDefault="00540ABD">
            <w:pPr>
              <w:rPr>
                <w:rFonts w:cstheme="minorHAnsi"/>
              </w:rPr>
            </w:pPr>
            <w:r w:rsidRPr="001C300D">
              <w:rPr>
                <w:rFonts w:cstheme="minorHAnsi"/>
              </w:rPr>
              <w:t xml:space="preserve">Natural, human, social and economic capitals are now defined in section 2.3 </w:t>
            </w:r>
            <w:r w:rsidRPr="001C300D">
              <w:rPr>
                <w:rFonts w:cstheme="minorHAnsi"/>
                <w:i/>
              </w:rPr>
              <w:t>Community Assets and Capacities and the Multi-Capital Lens</w:t>
            </w:r>
            <w:r w:rsidRPr="001C300D">
              <w:rPr>
                <w:rFonts w:cstheme="minorHAnsi"/>
              </w:rPr>
              <w:t xml:space="preserve"> (page 6). </w:t>
            </w:r>
          </w:p>
        </w:tc>
      </w:tr>
      <w:tr w:rsidR="0019731F" w:rsidRPr="001C300D" w14:paraId="001F11C5" w14:textId="77777777" w:rsidTr="0019731F">
        <w:tc>
          <w:tcPr>
            <w:tcW w:w="4675" w:type="dxa"/>
          </w:tcPr>
          <w:p w14:paraId="54297D4B" w14:textId="77777777" w:rsidR="0019731F" w:rsidRPr="001C300D" w:rsidRDefault="0019731F" w:rsidP="00CA551A">
            <w:pPr>
              <w:numPr>
                <w:ilvl w:val="0"/>
                <w:numId w:val="1"/>
              </w:numPr>
              <w:tabs>
                <w:tab w:val="clear" w:pos="720"/>
                <w:tab w:val="num" w:pos="426"/>
              </w:tabs>
              <w:spacing w:before="100" w:beforeAutospacing="1" w:after="100" w:afterAutospacing="1"/>
              <w:ind w:left="426" w:hanging="284"/>
              <w:rPr>
                <w:rFonts w:eastAsia="Times New Roman" w:cstheme="minorHAnsi"/>
                <w:color w:val="000000"/>
              </w:rPr>
            </w:pPr>
            <w:r w:rsidRPr="001C300D">
              <w:rPr>
                <w:rFonts w:eastAsia="Times New Roman" w:cstheme="minorHAnsi"/>
                <w:color w:val="000000"/>
                <w:lang w:val="en-CA"/>
              </w:rPr>
              <w:t>At times the authors(s) seem to use the terms resilience, sustainability, and development interchangeably – make clear all three terms. This is somewhat introduced in the Literature Review section (which I think deserves a better heading) but only dealt with superficially and does not appear to impact how the discussion occurs later on (you see the words used interchangeably). Look at book “Resilience: Why things bounce back?” (2013) by Zolli and Healy for a good discussion.</w:t>
            </w:r>
          </w:p>
        </w:tc>
        <w:tc>
          <w:tcPr>
            <w:tcW w:w="4675" w:type="dxa"/>
          </w:tcPr>
          <w:p w14:paraId="56B886FA" w14:textId="766CDD40" w:rsidR="0019731F" w:rsidRPr="001C300D" w:rsidRDefault="0090180A">
            <w:pPr>
              <w:rPr>
                <w:rFonts w:cstheme="minorHAnsi"/>
              </w:rPr>
            </w:pPr>
            <w:r w:rsidRPr="001C300D">
              <w:rPr>
                <w:rFonts w:cstheme="minorHAnsi"/>
              </w:rPr>
              <w:t xml:space="preserve">The literature review section has been re-named, as suggested. </w:t>
            </w:r>
            <w:r w:rsidR="004C6E1E" w:rsidRPr="001C300D">
              <w:rPr>
                <w:rFonts w:cstheme="minorHAnsi"/>
              </w:rPr>
              <w:t xml:space="preserve">Section 2.1 has been re-named </w:t>
            </w:r>
            <w:r w:rsidR="001B2D51">
              <w:rPr>
                <w:rFonts w:cstheme="minorHAnsi"/>
                <w:i/>
              </w:rPr>
              <w:t>Rural Community Development, Resilience and S</w:t>
            </w:r>
            <w:r w:rsidR="004C6E1E" w:rsidRPr="001C300D">
              <w:rPr>
                <w:rFonts w:cstheme="minorHAnsi"/>
                <w:i/>
              </w:rPr>
              <w:t>ustainability</w:t>
            </w:r>
            <w:r w:rsidR="004C6E1E" w:rsidRPr="001C300D">
              <w:rPr>
                <w:rFonts w:cstheme="minorHAnsi"/>
              </w:rPr>
              <w:t xml:space="preserve"> and now offers definitions for each of these concepts. We have also rectified the use of these words interchangeably throughout the paper.</w:t>
            </w:r>
          </w:p>
        </w:tc>
      </w:tr>
      <w:tr w:rsidR="0019731F" w:rsidRPr="001C300D" w14:paraId="280B2EFF" w14:textId="77777777" w:rsidTr="0019731F">
        <w:tc>
          <w:tcPr>
            <w:tcW w:w="4675" w:type="dxa"/>
          </w:tcPr>
          <w:p w14:paraId="42F96A17" w14:textId="77777777" w:rsidR="0019731F" w:rsidRPr="001C300D" w:rsidRDefault="0019731F" w:rsidP="00CA551A">
            <w:pPr>
              <w:numPr>
                <w:ilvl w:val="0"/>
                <w:numId w:val="1"/>
              </w:numPr>
              <w:tabs>
                <w:tab w:val="clear" w:pos="720"/>
                <w:tab w:val="num" w:pos="426"/>
              </w:tabs>
              <w:spacing w:before="100" w:beforeAutospacing="1" w:after="100" w:afterAutospacing="1"/>
              <w:ind w:left="426" w:hanging="284"/>
              <w:rPr>
                <w:rFonts w:eastAsia="Times New Roman" w:cstheme="minorHAnsi"/>
                <w:color w:val="000000"/>
              </w:rPr>
            </w:pPr>
            <w:r w:rsidRPr="001C300D">
              <w:rPr>
                <w:rFonts w:eastAsia="Times New Roman" w:cstheme="minorHAnsi"/>
                <w:color w:val="000000"/>
                <w:lang w:val="en-CA"/>
              </w:rPr>
              <w:t xml:space="preserve">When discussing issues of heritage, the word “indigenous” might be confusing if not referring to First Peoples. At the very least, </w:t>
            </w:r>
            <w:r w:rsidRPr="001C300D">
              <w:rPr>
                <w:rFonts w:eastAsia="Times New Roman" w:cstheme="minorHAnsi"/>
                <w:color w:val="000000"/>
                <w:lang w:val="en-CA"/>
              </w:rPr>
              <w:lastRenderedPageBreak/>
              <w:t>explain use, or use “settler”. I understand what is meant, particularly given it is not capitalized, but it could be confusing/insulting to others.</w:t>
            </w:r>
          </w:p>
        </w:tc>
        <w:tc>
          <w:tcPr>
            <w:tcW w:w="4675" w:type="dxa"/>
          </w:tcPr>
          <w:p w14:paraId="7567BEAF" w14:textId="77777777" w:rsidR="0019731F" w:rsidRPr="001C300D" w:rsidRDefault="00BD4A01">
            <w:pPr>
              <w:rPr>
                <w:rFonts w:cstheme="minorHAnsi"/>
              </w:rPr>
            </w:pPr>
            <w:r w:rsidRPr="001C300D">
              <w:rPr>
                <w:rFonts w:cstheme="minorHAnsi"/>
              </w:rPr>
              <w:lastRenderedPageBreak/>
              <w:t xml:space="preserve">As recommended, the word ‘indigenous’ has been replaced in the article by the words ‘local’ and/or ‘settler’ depending on the context of the </w:t>
            </w:r>
            <w:r w:rsidRPr="001C300D">
              <w:rPr>
                <w:rFonts w:cstheme="minorHAnsi"/>
              </w:rPr>
              <w:lastRenderedPageBreak/>
              <w:t>sentences to which they were attached.</w:t>
            </w:r>
          </w:p>
        </w:tc>
      </w:tr>
      <w:tr w:rsidR="0019731F" w:rsidRPr="001C300D" w14:paraId="40047090" w14:textId="77777777" w:rsidTr="0019731F">
        <w:tc>
          <w:tcPr>
            <w:tcW w:w="4675" w:type="dxa"/>
          </w:tcPr>
          <w:p w14:paraId="5016A402" w14:textId="77777777" w:rsidR="0019731F" w:rsidRPr="00E1039B" w:rsidRDefault="0019731F" w:rsidP="00CA551A">
            <w:pPr>
              <w:pStyle w:val="ListParagraph"/>
              <w:numPr>
                <w:ilvl w:val="0"/>
                <w:numId w:val="2"/>
              </w:numPr>
              <w:tabs>
                <w:tab w:val="num" w:pos="426"/>
              </w:tabs>
              <w:ind w:left="426" w:hanging="284"/>
              <w:rPr>
                <w:rFonts w:cstheme="minorHAnsi"/>
              </w:rPr>
            </w:pPr>
            <w:r w:rsidRPr="00E1039B">
              <w:rPr>
                <w:rFonts w:eastAsia="Times New Roman" w:cstheme="minorHAnsi"/>
                <w:color w:val="000000"/>
                <w:lang w:val="en-CA"/>
              </w:rPr>
              <w:lastRenderedPageBreak/>
              <w:t>I think the volunteerism element of human capital is critical to many of these programs, and might deserve a bit more of a discussion – particularly given the problem of aging demographic of the communities. Check out the many articles in JRCD e.g. Vol 11, No 1 (2016)</w:t>
            </w:r>
          </w:p>
          <w:p w14:paraId="0F9EC37C" w14:textId="77777777" w:rsidR="00AF186B" w:rsidRPr="00E1039B" w:rsidRDefault="00AF186B" w:rsidP="00CA551A">
            <w:pPr>
              <w:pStyle w:val="ListParagraph"/>
              <w:tabs>
                <w:tab w:val="num" w:pos="426"/>
              </w:tabs>
              <w:ind w:left="426" w:hanging="284"/>
              <w:rPr>
                <w:rFonts w:cstheme="minorHAnsi"/>
              </w:rPr>
            </w:pPr>
          </w:p>
        </w:tc>
        <w:tc>
          <w:tcPr>
            <w:tcW w:w="4675" w:type="dxa"/>
          </w:tcPr>
          <w:p w14:paraId="45D3F254" w14:textId="3817882C" w:rsidR="00E1039B" w:rsidRDefault="00E1039B">
            <w:pPr>
              <w:rPr>
                <w:rFonts w:cstheme="minorHAnsi"/>
              </w:rPr>
            </w:pPr>
            <w:r w:rsidRPr="00CA551A">
              <w:rPr>
                <w:rFonts w:ascii="Calibri" w:eastAsia="Times New Roman" w:hAnsi="Calibri" w:cs="Calibri"/>
                <w:color w:val="000000"/>
              </w:rPr>
              <w:t>The following has been added to the comparative analysis of human capital on page 19: “The significance of a committed volunteer-based, however, is worth re-stating. As demonstrated by Gallo and Duffy (2016), the commitment of long-term volunteerism, in addition to the acquiring sustainable funding, may contribute positively to the sustaining and/or advancement of an organization.”</w:t>
            </w:r>
            <w:r w:rsidR="00CA551A" w:rsidRPr="00CA551A">
              <w:rPr>
                <w:rFonts w:ascii="Calibri" w:eastAsia="Times New Roman" w:hAnsi="Calibri" w:cs="Calibri"/>
                <w:color w:val="000000"/>
              </w:rPr>
              <w:t xml:space="preserve"> The Gallo and Duffy (2016) artic</w:t>
            </w:r>
            <w:r w:rsidR="00CA551A">
              <w:rPr>
                <w:rFonts w:ascii="Calibri" w:eastAsia="Times New Roman" w:hAnsi="Calibri" w:cs="Calibri"/>
                <w:color w:val="000000"/>
              </w:rPr>
              <w:t>le, as recommended, comes from</w:t>
            </w:r>
            <w:r w:rsidR="00CA551A" w:rsidRPr="00CA551A">
              <w:rPr>
                <w:rFonts w:ascii="Calibri" w:eastAsia="Times New Roman" w:hAnsi="Calibri" w:cs="Calibri"/>
                <w:color w:val="000000"/>
              </w:rPr>
              <w:t xml:space="preserve"> </w:t>
            </w:r>
            <w:r w:rsidR="00CA551A" w:rsidRPr="00CA551A">
              <w:rPr>
                <w:rFonts w:eastAsia="Times New Roman" w:cstheme="minorHAnsi"/>
                <w:color w:val="000000"/>
                <w:lang w:val="en-CA"/>
              </w:rPr>
              <w:t>JRCD e.g. Vol 11, No 1 (2016)</w:t>
            </w:r>
            <w:r w:rsidR="00CA551A">
              <w:rPr>
                <w:rFonts w:eastAsia="Times New Roman" w:cstheme="minorHAnsi"/>
                <w:color w:val="000000"/>
                <w:lang w:val="en-CA"/>
              </w:rPr>
              <w:t>.</w:t>
            </w:r>
          </w:p>
          <w:p w14:paraId="131C4EB7" w14:textId="3FE4C12F" w:rsidR="00CA551A" w:rsidRPr="00CA551A" w:rsidRDefault="00CA551A">
            <w:pPr>
              <w:rPr>
                <w:rFonts w:cstheme="minorHAnsi"/>
              </w:rPr>
            </w:pPr>
          </w:p>
        </w:tc>
      </w:tr>
      <w:tr w:rsidR="0019731F" w:rsidRPr="001C300D" w14:paraId="03519C27" w14:textId="77777777" w:rsidTr="0019731F">
        <w:tc>
          <w:tcPr>
            <w:tcW w:w="4675" w:type="dxa"/>
          </w:tcPr>
          <w:p w14:paraId="055F12FE" w14:textId="77777777" w:rsidR="0019731F" w:rsidRPr="001C300D" w:rsidRDefault="0019731F" w:rsidP="00CA551A">
            <w:pPr>
              <w:numPr>
                <w:ilvl w:val="0"/>
                <w:numId w:val="1"/>
              </w:numPr>
              <w:tabs>
                <w:tab w:val="clear" w:pos="720"/>
                <w:tab w:val="num" w:pos="426"/>
              </w:tabs>
              <w:spacing w:before="100" w:beforeAutospacing="1" w:after="100" w:afterAutospacing="1"/>
              <w:ind w:left="426" w:hanging="284"/>
              <w:rPr>
                <w:rFonts w:eastAsia="Times New Roman" w:cstheme="minorHAnsi"/>
                <w:color w:val="000000"/>
              </w:rPr>
            </w:pPr>
            <w:r w:rsidRPr="001C300D">
              <w:rPr>
                <w:rFonts w:eastAsia="Times New Roman" w:cstheme="minorHAnsi"/>
                <w:color w:val="000000"/>
                <w:lang w:val="en-CA"/>
              </w:rPr>
              <w:t>Minor grammar issues, missing/wrong words, etc. (requires editing).</w:t>
            </w:r>
          </w:p>
          <w:p w14:paraId="2B68431C" w14:textId="77777777" w:rsidR="0019731F" w:rsidRPr="001C300D" w:rsidRDefault="0019731F" w:rsidP="00CA551A">
            <w:pPr>
              <w:numPr>
                <w:ilvl w:val="1"/>
                <w:numId w:val="1"/>
              </w:numPr>
              <w:tabs>
                <w:tab w:val="num" w:pos="426"/>
              </w:tabs>
              <w:spacing w:before="100" w:beforeAutospacing="1" w:after="100" w:afterAutospacing="1"/>
              <w:ind w:left="426" w:hanging="284"/>
              <w:rPr>
                <w:rFonts w:eastAsia="Times New Roman" w:cstheme="minorHAnsi"/>
                <w:color w:val="000000"/>
              </w:rPr>
            </w:pPr>
            <w:r w:rsidRPr="001C300D">
              <w:rPr>
                <w:rFonts w:eastAsia="Times New Roman" w:cstheme="minorHAnsi"/>
                <w:color w:val="000000"/>
                <w:lang w:val="en-CA"/>
              </w:rPr>
              <w:t>E.g. p.17: Economic capital is divided into financial capital (</w:t>
            </w:r>
            <w:r w:rsidR="001433A9" w:rsidRPr="001C300D">
              <w:rPr>
                <w:rFonts w:eastAsia="Times New Roman" w:cstheme="minorHAnsi"/>
                <w:color w:val="000000"/>
                <w:lang w:val="en-CA"/>
              </w:rPr>
              <w:t xml:space="preserve">liquid assets) and physical capital (liquid assets) </w:t>
            </w:r>
            <w:r w:rsidRPr="001C300D">
              <w:rPr>
                <w:rFonts w:eastAsia="Times New Roman" w:cstheme="minorHAnsi"/>
                <w:color w:val="000000"/>
                <w:lang w:val="en-CA"/>
              </w:rPr>
              <w:t>according to Beckley et al. (2008).</w:t>
            </w:r>
          </w:p>
        </w:tc>
        <w:tc>
          <w:tcPr>
            <w:tcW w:w="4675" w:type="dxa"/>
          </w:tcPr>
          <w:p w14:paraId="59E362C9" w14:textId="77777777" w:rsidR="0019731F" w:rsidRPr="001C300D" w:rsidRDefault="00BC66D7">
            <w:pPr>
              <w:rPr>
                <w:rFonts w:cstheme="minorHAnsi"/>
              </w:rPr>
            </w:pPr>
            <w:r w:rsidRPr="001C300D">
              <w:rPr>
                <w:rFonts w:cstheme="minorHAnsi"/>
              </w:rPr>
              <w:t>The highlighted grammatical error has been corrected and the authors have corrected additional grammatical errors throughout.</w:t>
            </w:r>
          </w:p>
        </w:tc>
      </w:tr>
      <w:tr w:rsidR="0019731F" w:rsidRPr="001C300D" w14:paraId="15CBEA0C" w14:textId="77777777" w:rsidTr="0019731F">
        <w:tc>
          <w:tcPr>
            <w:tcW w:w="4675" w:type="dxa"/>
            <w:shd w:val="clear" w:color="auto" w:fill="D9D9D9" w:themeFill="background1" w:themeFillShade="D9"/>
          </w:tcPr>
          <w:p w14:paraId="6CE0438E" w14:textId="77777777" w:rsidR="0019731F" w:rsidRPr="001C300D" w:rsidRDefault="0019731F" w:rsidP="0019731F">
            <w:pPr>
              <w:spacing w:before="100" w:beforeAutospacing="1" w:after="100" w:afterAutospacing="1"/>
              <w:jc w:val="center"/>
              <w:rPr>
                <w:rFonts w:eastAsia="Times New Roman" w:cstheme="minorHAnsi"/>
                <w:b/>
                <w:color w:val="000000"/>
                <w:lang w:val="en-CA"/>
              </w:rPr>
            </w:pPr>
            <w:r w:rsidRPr="001C300D">
              <w:rPr>
                <w:rFonts w:eastAsia="Times New Roman" w:cstheme="minorHAnsi"/>
                <w:b/>
                <w:color w:val="000000"/>
                <w:lang w:val="en-CA"/>
              </w:rPr>
              <w:t>Reviewer 2 Comment</w:t>
            </w:r>
          </w:p>
        </w:tc>
        <w:tc>
          <w:tcPr>
            <w:tcW w:w="4675" w:type="dxa"/>
            <w:shd w:val="clear" w:color="auto" w:fill="D9D9D9" w:themeFill="background1" w:themeFillShade="D9"/>
          </w:tcPr>
          <w:p w14:paraId="728C920D" w14:textId="77777777" w:rsidR="0019731F" w:rsidRPr="001C300D" w:rsidRDefault="0019731F" w:rsidP="0019731F">
            <w:pPr>
              <w:jc w:val="center"/>
              <w:rPr>
                <w:rFonts w:cstheme="minorHAnsi"/>
                <w:b/>
              </w:rPr>
            </w:pPr>
            <w:r w:rsidRPr="001C300D">
              <w:rPr>
                <w:rFonts w:cstheme="minorHAnsi"/>
                <w:b/>
              </w:rPr>
              <w:t>Authors Response</w:t>
            </w:r>
          </w:p>
        </w:tc>
      </w:tr>
      <w:tr w:rsidR="0019731F" w:rsidRPr="001C300D" w14:paraId="3100235D" w14:textId="77777777" w:rsidTr="0019731F">
        <w:tc>
          <w:tcPr>
            <w:tcW w:w="4675" w:type="dxa"/>
          </w:tcPr>
          <w:p w14:paraId="4ADE826F" w14:textId="77777777" w:rsidR="0019731F" w:rsidRPr="001C300D" w:rsidRDefault="00AF186B" w:rsidP="00AF186B">
            <w:pPr>
              <w:rPr>
                <w:rFonts w:cstheme="minorHAnsi"/>
              </w:rPr>
            </w:pPr>
            <w:r w:rsidRPr="001C300D">
              <w:rPr>
                <w:rFonts w:cstheme="minorHAnsi"/>
              </w:rPr>
              <w:t>The aim of the research as outlined on page 2 is to assess the contribution of a number of local initiatives to the sustainability and resilience of local communities. The discussion does a good job at describing the contribution but to my mind does not appear to have shown how they have increased sustainability or resilience. How can increased sustainability or resilience be demonstrated? One way might be a decline in out migration, others might be increase in local businesses, increasing tourism numbers, new tourism related businesses, falling unemployment etc. This issue needs to be addressed.</w:t>
            </w:r>
          </w:p>
          <w:p w14:paraId="553EBF61" w14:textId="77777777" w:rsidR="00AF186B" w:rsidRPr="001C300D" w:rsidRDefault="00AF186B" w:rsidP="00AF186B">
            <w:pPr>
              <w:rPr>
                <w:rFonts w:cstheme="minorHAnsi"/>
              </w:rPr>
            </w:pPr>
          </w:p>
        </w:tc>
        <w:tc>
          <w:tcPr>
            <w:tcW w:w="4675" w:type="dxa"/>
          </w:tcPr>
          <w:p w14:paraId="6029BFB0" w14:textId="512D1852" w:rsidR="009C124A" w:rsidRDefault="00553ECB" w:rsidP="009C124A">
            <w:pPr>
              <w:rPr>
                <w:rFonts w:cstheme="minorHAnsi"/>
              </w:rPr>
            </w:pPr>
            <w:r w:rsidRPr="001C300D">
              <w:rPr>
                <w:rFonts w:cstheme="minorHAnsi"/>
              </w:rPr>
              <w:t>I</w:t>
            </w:r>
            <w:r w:rsidR="005B597D" w:rsidRPr="001C300D">
              <w:rPr>
                <w:rFonts w:cstheme="minorHAnsi"/>
              </w:rPr>
              <w:t xml:space="preserve">t is true that this paper does not discuss how the three initiatives in question have increased </w:t>
            </w:r>
            <w:r w:rsidRPr="001C300D">
              <w:rPr>
                <w:rFonts w:cstheme="minorHAnsi"/>
              </w:rPr>
              <w:t xml:space="preserve">the </w:t>
            </w:r>
            <w:r w:rsidR="0080386D">
              <w:rPr>
                <w:rFonts w:cstheme="minorHAnsi"/>
              </w:rPr>
              <w:t xml:space="preserve">overall </w:t>
            </w:r>
            <w:r w:rsidRPr="001C300D">
              <w:rPr>
                <w:rFonts w:cstheme="minorHAnsi"/>
              </w:rPr>
              <w:t>sustainability and/or resilience of the communities i</w:t>
            </w:r>
            <w:r w:rsidR="0080386D">
              <w:rPr>
                <w:rFonts w:cstheme="minorHAnsi"/>
              </w:rPr>
              <w:t>n which they exist. T</w:t>
            </w:r>
            <w:r w:rsidRPr="001C300D">
              <w:rPr>
                <w:rFonts w:cstheme="minorHAnsi"/>
              </w:rPr>
              <w:t>he objective of the project was to assess the contributions of each initiative towards sustainability and resil</w:t>
            </w:r>
            <w:r w:rsidR="0080386D">
              <w:rPr>
                <w:rFonts w:cstheme="minorHAnsi"/>
              </w:rPr>
              <w:t>ience rather than quantify end outcomes of this kind.</w:t>
            </w:r>
            <w:r w:rsidRPr="001C300D">
              <w:rPr>
                <w:rFonts w:cstheme="minorHAnsi"/>
              </w:rPr>
              <w:t xml:space="preserve"> </w:t>
            </w:r>
            <w:r w:rsidR="0080386D">
              <w:rPr>
                <w:rFonts w:cstheme="minorHAnsi"/>
              </w:rPr>
              <w:t>T</w:t>
            </w:r>
            <w:r w:rsidRPr="001C300D">
              <w:rPr>
                <w:rFonts w:cstheme="minorHAnsi"/>
              </w:rPr>
              <w:t>his paper represents a modest form of participatory action research (rather than a mo</w:t>
            </w:r>
            <w:r w:rsidR="0080386D">
              <w:rPr>
                <w:rFonts w:cstheme="minorHAnsi"/>
              </w:rPr>
              <w:t>re comprehensive investigation). T</w:t>
            </w:r>
            <w:r w:rsidRPr="001C300D">
              <w:rPr>
                <w:rFonts w:cstheme="minorHAnsi"/>
              </w:rPr>
              <w:t>he authors do not feel</w:t>
            </w:r>
            <w:r w:rsidR="009C124A">
              <w:rPr>
                <w:rFonts w:cstheme="minorHAnsi"/>
              </w:rPr>
              <w:t>, therefore,</w:t>
            </w:r>
            <w:r w:rsidRPr="001C300D">
              <w:rPr>
                <w:rFonts w:cstheme="minorHAnsi"/>
              </w:rPr>
              <w:t xml:space="preserve"> that they are able to comment on how each initiative has </w:t>
            </w:r>
            <w:r w:rsidRPr="001C300D">
              <w:rPr>
                <w:rFonts w:cstheme="minorHAnsi"/>
                <w:i/>
              </w:rPr>
              <w:t>increased</w:t>
            </w:r>
            <w:r w:rsidRPr="001C300D">
              <w:rPr>
                <w:rFonts w:cstheme="minorHAnsi"/>
              </w:rPr>
              <w:t xml:space="preserve"> sustainability and resilience. </w:t>
            </w:r>
            <w:r w:rsidR="009C124A">
              <w:rPr>
                <w:rFonts w:cstheme="minorHAnsi"/>
              </w:rPr>
              <w:t>This is also a function of the complex nature of the context under review and the limitations of available evaluation techniques. We have therefore a</w:t>
            </w:r>
            <w:r w:rsidR="00C15640">
              <w:rPr>
                <w:rFonts w:cstheme="minorHAnsi"/>
              </w:rPr>
              <w:t>dded</w:t>
            </w:r>
            <w:r w:rsidR="009C124A">
              <w:rPr>
                <w:rFonts w:cstheme="minorHAnsi"/>
              </w:rPr>
              <w:t xml:space="preserve"> the following</w:t>
            </w:r>
            <w:r w:rsidR="00C15640">
              <w:rPr>
                <w:rFonts w:cstheme="minorHAnsi"/>
              </w:rPr>
              <w:t xml:space="preserve"> to limitations of the study:</w:t>
            </w:r>
          </w:p>
          <w:p w14:paraId="4A0ACF90" w14:textId="77777777" w:rsidR="009C124A" w:rsidRPr="009C124A" w:rsidRDefault="009C124A" w:rsidP="009C124A">
            <w:pPr>
              <w:rPr>
                <w:rFonts w:cstheme="minorHAnsi"/>
              </w:rPr>
            </w:pPr>
          </w:p>
          <w:p w14:paraId="784DC5D1" w14:textId="77777777" w:rsidR="00C15640" w:rsidRDefault="009C124A" w:rsidP="009C124A">
            <w:pPr>
              <w:widowControl w:val="0"/>
              <w:autoSpaceDE w:val="0"/>
              <w:autoSpaceDN w:val="0"/>
              <w:adjustRightInd w:val="0"/>
              <w:spacing w:after="240"/>
              <w:rPr>
                <w:rFonts w:cs="Times New Roman"/>
              </w:rPr>
            </w:pPr>
            <w:r w:rsidRPr="003E2FBA">
              <w:rPr>
                <w:rFonts w:eastAsia="Times New Roman"/>
                <w:color w:val="000000"/>
              </w:rPr>
              <w:t>“Finally, a challenge associated with outcome-based evaluation</w:t>
            </w:r>
            <w:r w:rsidRPr="003E2FBA">
              <w:t xml:space="preserve"> is the attribution of effects to particular activities. This is especially difficult in complex systems with multiple factors </w:t>
            </w:r>
            <w:r w:rsidRPr="003E2FBA">
              <w:lastRenderedPageBreak/>
              <w:t xml:space="preserve">contributing to a given outcome or situation, as in the case of rural communities and regions of NL. In such circumstances it is important to take into account immediate and intermediate outcomes that can be expected to contribute to ultimate desired outcomes according to a theory of change (Mayne, 2008).  This article therefore draws from </w:t>
            </w:r>
            <w:r w:rsidRPr="003E2FBA">
              <w:rPr>
                <w:rFonts w:eastAsia="Times New Roman" w:cs="Times New Roman"/>
                <w:color w:val="000000"/>
              </w:rPr>
              <w:t>Beckley et al.</w:t>
            </w:r>
            <w:r w:rsidRPr="003E2FBA">
              <w:rPr>
                <w:rFonts w:eastAsia="Times New Roman"/>
                <w:color w:val="000000"/>
              </w:rPr>
              <w:t>’s</w:t>
            </w:r>
            <w:r w:rsidRPr="003E2FBA">
              <w:rPr>
                <w:rFonts w:eastAsia="Times New Roman" w:cs="Times New Roman"/>
                <w:color w:val="000000"/>
              </w:rPr>
              <w:t xml:space="preserve"> (2008)</w:t>
            </w:r>
            <w:r w:rsidRPr="003E2FBA">
              <w:rPr>
                <w:rFonts w:eastAsia="Times New Roman"/>
                <w:color w:val="000000"/>
              </w:rPr>
              <w:t xml:space="preserve"> c</w:t>
            </w:r>
            <w:r w:rsidRPr="003E2FBA">
              <w:rPr>
                <w:rFonts w:cs="Times New Roman"/>
              </w:rPr>
              <w:t>ommunity capacity model, which suggests that multiple forms of capital, paired with capacity catalysts and social relations are likely to lead to final capacity outcomes. Contributions to these multiple capitals and relation</w:t>
            </w:r>
            <w:bookmarkStart w:id="0" w:name="_GoBack"/>
            <w:bookmarkEnd w:id="0"/>
            <w:r w:rsidRPr="003E2FBA">
              <w:rPr>
                <w:rFonts w:cs="Times New Roman"/>
              </w:rPr>
              <w:t>ships are considered.”</w:t>
            </w:r>
          </w:p>
          <w:p w14:paraId="61F84E31" w14:textId="77777777" w:rsidR="00DE5783" w:rsidRPr="00DE5783" w:rsidRDefault="00DE5783" w:rsidP="009C124A">
            <w:pPr>
              <w:widowControl w:val="0"/>
              <w:autoSpaceDE w:val="0"/>
              <w:autoSpaceDN w:val="0"/>
              <w:adjustRightInd w:val="0"/>
              <w:spacing w:after="240"/>
              <w:rPr>
                <w:rFonts w:cstheme="minorHAnsi"/>
              </w:rPr>
            </w:pPr>
            <w:r>
              <w:rPr>
                <w:rFonts w:cs="Times New Roman"/>
              </w:rPr>
              <w:t>The following has also been added to the community and regional development implications section on page 24, tying back to the definition</w:t>
            </w:r>
            <w:r w:rsidRPr="00DE5783">
              <w:rPr>
                <w:rFonts w:cstheme="minorHAnsi"/>
              </w:rPr>
              <w:t xml:space="preserve"> of resilience offered on page 4: </w:t>
            </w:r>
          </w:p>
          <w:p w14:paraId="47B97667" w14:textId="3DE7F379" w:rsidR="00DE5783" w:rsidRPr="003E2FBA" w:rsidRDefault="00DE5783" w:rsidP="009C124A">
            <w:pPr>
              <w:widowControl w:val="0"/>
              <w:autoSpaceDE w:val="0"/>
              <w:autoSpaceDN w:val="0"/>
              <w:adjustRightInd w:val="0"/>
              <w:spacing w:after="240"/>
              <w:rPr>
                <w:rFonts w:cs="Times"/>
              </w:rPr>
            </w:pPr>
            <w:r w:rsidRPr="00DE5783">
              <w:rPr>
                <w:rFonts w:cstheme="minorHAnsi"/>
              </w:rPr>
              <w:t>“</w:t>
            </w:r>
            <w:r w:rsidRPr="00DE5783">
              <w:rPr>
                <w:rFonts w:eastAsia="Times New Roman" w:cstheme="minorHAnsi"/>
                <w:color w:val="000000"/>
              </w:rPr>
              <w:t>Each of the initiatives has also contributed to the resilience of their local communities by providing economic opportunities, fostering collaboration among local organizations, and developing local capacity via training and skills development and the transmission of local knowledge and/or practices. Such efforts may contribute to the ability of their localities to adapt to future economic and/or cultural change.</w:t>
            </w:r>
            <w:r w:rsidRPr="00DE5783">
              <w:rPr>
                <w:rFonts w:eastAsia="Times New Roman" w:cstheme="minorHAnsi"/>
                <w:color w:val="000000"/>
              </w:rPr>
              <w:t>”</w:t>
            </w:r>
          </w:p>
        </w:tc>
      </w:tr>
      <w:tr w:rsidR="0019731F" w:rsidRPr="001C300D" w14:paraId="11D70A44" w14:textId="77777777" w:rsidTr="0019731F">
        <w:tc>
          <w:tcPr>
            <w:tcW w:w="4675" w:type="dxa"/>
          </w:tcPr>
          <w:p w14:paraId="6D59675F" w14:textId="77777777" w:rsidR="0019731F" w:rsidRPr="001C300D" w:rsidRDefault="00AF186B" w:rsidP="00AF186B">
            <w:pPr>
              <w:rPr>
                <w:rFonts w:cstheme="minorHAnsi"/>
              </w:rPr>
            </w:pPr>
            <w:r w:rsidRPr="001C300D">
              <w:rPr>
                <w:rFonts w:cstheme="minorHAnsi"/>
              </w:rPr>
              <w:lastRenderedPageBreak/>
              <w:t xml:space="preserve">It would be useful to include supporting references for </w:t>
            </w:r>
            <w:r w:rsidRPr="001C300D">
              <w:rPr>
                <w:rFonts w:cstheme="minorHAnsi"/>
                <w:i/>
              </w:rPr>
              <w:t>out-comes based evaluation</w:t>
            </w:r>
            <w:r w:rsidRPr="001C300D">
              <w:rPr>
                <w:rFonts w:cstheme="minorHAnsi"/>
              </w:rPr>
              <w:t xml:space="preserve"> and </w:t>
            </w:r>
            <w:r w:rsidRPr="001C300D">
              <w:rPr>
                <w:rFonts w:cstheme="minorHAnsi"/>
                <w:i/>
              </w:rPr>
              <w:t>multiple capitals framework</w:t>
            </w:r>
            <w:r w:rsidRPr="001C300D">
              <w:rPr>
                <w:rFonts w:cstheme="minorHAnsi"/>
              </w:rPr>
              <w:t xml:space="preserve">   discussed in the first paragraph on page 2. </w:t>
            </w:r>
          </w:p>
          <w:p w14:paraId="19DF9762" w14:textId="77777777" w:rsidR="00AF186B" w:rsidRPr="001C300D" w:rsidRDefault="00AF186B" w:rsidP="00AF186B">
            <w:pPr>
              <w:rPr>
                <w:rFonts w:cstheme="minorHAnsi"/>
              </w:rPr>
            </w:pPr>
          </w:p>
        </w:tc>
        <w:tc>
          <w:tcPr>
            <w:tcW w:w="4675" w:type="dxa"/>
          </w:tcPr>
          <w:p w14:paraId="58E0ECB0" w14:textId="77777777" w:rsidR="00DE5783" w:rsidRDefault="0011479C" w:rsidP="001C300D">
            <w:pPr>
              <w:spacing w:before="240" w:after="120" w:line="60" w:lineRule="atLeast"/>
              <w:rPr>
                <w:rFonts w:eastAsia="Times New Roman" w:cstheme="minorHAnsi"/>
                <w:color w:val="000000" w:themeColor="text1"/>
              </w:rPr>
            </w:pPr>
            <w:r w:rsidRPr="001C300D">
              <w:rPr>
                <w:rFonts w:eastAsia="Times New Roman" w:cstheme="minorHAnsi"/>
                <w:color w:val="000000" w:themeColor="text1"/>
              </w:rPr>
              <w:t>The following article</w:t>
            </w:r>
            <w:r w:rsidR="00DE5783">
              <w:rPr>
                <w:rFonts w:eastAsia="Times New Roman" w:cstheme="minorHAnsi"/>
                <w:color w:val="000000" w:themeColor="text1"/>
              </w:rPr>
              <w:t xml:space="preserve"> has</w:t>
            </w:r>
            <w:r w:rsidRPr="001C300D">
              <w:rPr>
                <w:rFonts w:eastAsia="Times New Roman" w:cstheme="minorHAnsi"/>
                <w:color w:val="000000" w:themeColor="text1"/>
              </w:rPr>
              <w:t xml:space="preserve"> been cited for both approaches: Harger-Forde, S. Commissioned by Community Waitakere. (2012). “1) Literature Review of Evaluation Methods &amp; Methodologies”. </w:t>
            </w:r>
            <w:r w:rsidRPr="001C300D">
              <w:rPr>
                <w:rFonts w:eastAsia="Times New Roman" w:cstheme="minorHAnsi"/>
                <w:i/>
                <w:iCs/>
                <w:color w:val="000000" w:themeColor="text1"/>
              </w:rPr>
              <w:t>Community Development Evaluation Research</w:t>
            </w:r>
            <w:r w:rsidRPr="001C300D">
              <w:rPr>
                <w:rFonts w:eastAsia="Times New Roman" w:cstheme="minorHAnsi"/>
                <w:color w:val="000000" w:themeColor="text1"/>
              </w:rPr>
              <w:t>. 1-43.</w:t>
            </w:r>
            <w:r w:rsidR="00B85B00">
              <w:rPr>
                <w:rFonts w:eastAsia="Times New Roman" w:cstheme="minorHAnsi"/>
                <w:color w:val="000000" w:themeColor="text1"/>
              </w:rPr>
              <w:t xml:space="preserve"> </w:t>
            </w:r>
          </w:p>
          <w:p w14:paraId="31BF456C" w14:textId="5B800231" w:rsidR="0019731F" w:rsidRPr="001C300D" w:rsidRDefault="00B85B00" w:rsidP="001C300D">
            <w:pPr>
              <w:spacing w:before="240" w:after="120" w:line="60" w:lineRule="atLeast"/>
              <w:rPr>
                <w:rFonts w:eastAsia="Times New Roman" w:cstheme="minorHAnsi"/>
                <w:color w:val="000000" w:themeColor="text1"/>
              </w:rPr>
            </w:pPr>
            <w:r>
              <w:rPr>
                <w:rFonts w:eastAsia="Times New Roman" w:cstheme="minorHAnsi"/>
                <w:color w:val="000000" w:themeColor="text1"/>
              </w:rPr>
              <w:t>Beckley et al. (2008), a key article used in framing the multiple capitals approach is also cited.</w:t>
            </w:r>
          </w:p>
        </w:tc>
      </w:tr>
      <w:tr w:rsidR="0019731F" w:rsidRPr="001C300D" w14:paraId="59BCD15A" w14:textId="77777777" w:rsidTr="00CA551A">
        <w:trPr>
          <w:trHeight w:val="595"/>
        </w:trPr>
        <w:tc>
          <w:tcPr>
            <w:tcW w:w="4675" w:type="dxa"/>
          </w:tcPr>
          <w:p w14:paraId="01B197DE" w14:textId="77777777" w:rsidR="00AF186B" w:rsidRPr="001C300D" w:rsidRDefault="00AF186B" w:rsidP="0019731F">
            <w:pPr>
              <w:spacing w:before="100" w:beforeAutospacing="1" w:after="100" w:afterAutospacing="1"/>
              <w:rPr>
                <w:rFonts w:cstheme="minorHAnsi"/>
              </w:rPr>
            </w:pPr>
            <w:r w:rsidRPr="001C300D">
              <w:rPr>
                <w:rFonts w:cstheme="minorHAnsi"/>
              </w:rPr>
              <w:t>There are a number of quotes that do not include page numbers.</w:t>
            </w:r>
          </w:p>
          <w:p w14:paraId="151BC5DD" w14:textId="77777777" w:rsidR="00AF186B" w:rsidRPr="001C300D" w:rsidRDefault="00AF186B" w:rsidP="0019731F">
            <w:pPr>
              <w:spacing w:before="100" w:beforeAutospacing="1" w:after="100" w:afterAutospacing="1"/>
              <w:rPr>
                <w:rFonts w:cstheme="minorHAnsi"/>
              </w:rPr>
            </w:pPr>
          </w:p>
        </w:tc>
        <w:tc>
          <w:tcPr>
            <w:tcW w:w="4675" w:type="dxa"/>
          </w:tcPr>
          <w:p w14:paraId="65827B30" w14:textId="77777777" w:rsidR="0019731F" w:rsidRPr="001C300D" w:rsidRDefault="00073822">
            <w:pPr>
              <w:rPr>
                <w:rFonts w:cstheme="minorHAnsi"/>
              </w:rPr>
            </w:pPr>
            <w:r w:rsidRPr="001C300D">
              <w:rPr>
                <w:rFonts w:cstheme="minorHAnsi"/>
              </w:rPr>
              <w:t>Page numbers have been add</w:t>
            </w:r>
            <w:r w:rsidR="00B63FFE" w:rsidRPr="001C300D">
              <w:rPr>
                <w:rFonts w:cstheme="minorHAnsi"/>
              </w:rPr>
              <w:t>ed to citations referencing quoted text in this paper.</w:t>
            </w:r>
          </w:p>
        </w:tc>
      </w:tr>
      <w:tr w:rsidR="0019731F" w:rsidRPr="001C300D" w14:paraId="482B0BEB" w14:textId="77777777" w:rsidTr="0019731F">
        <w:tc>
          <w:tcPr>
            <w:tcW w:w="4675" w:type="dxa"/>
          </w:tcPr>
          <w:p w14:paraId="3BB85FA2" w14:textId="77777777" w:rsidR="0019731F" w:rsidRPr="001C300D" w:rsidRDefault="00AF186B" w:rsidP="00AF186B">
            <w:pPr>
              <w:rPr>
                <w:rFonts w:cstheme="minorHAnsi"/>
              </w:rPr>
            </w:pPr>
            <w:r w:rsidRPr="001C300D">
              <w:rPr>
                <w:rFonts w:cstheme="minorHAnsi"/>
              </w:rPr>
              <w:t xml:space="preserve">It would be useful to include a sentence or two to outline why the cod industry collapsed, some readers may be unaware of the implications of </w:t>
            </w:r>
            <w:r w:rsidRPr="001C300D">
              <w:rPr>
                <w:rFonts w:cstheme="minorHAnsi"/>
              </w:rPr>
              <w:lastRenderedPageBreak/>
              <w:t>the closure.</w:t>
            </w:r>
          </w:p>
          <w:p w14:paraId="2B399FF2" w14:textId="77777777" w:rsidR="00AF186B" w:rsidRPr="001C300D" w:rsidRDefault="00AF186B" w:rsidP="00AF186B">
            <w:pPr>
              <w:rPr>
                <w:rFonts w:cstheme="minorHAnsi"/>
              </w:rPr>
            </w:pPr>
          </w:p>
        </w:tc>
        <w:tc>
          <w:tcPr>
            <w:tcW w:w="4675" w:type="dxa"/>
          </w:tcPr>
          <w:p w14:paraId="70DB1742" w14:textId="77777777" w:rsidR="007A7EB5" w:rsidRDefault="007F0F48" w:rsidP="00CA551A">
            <w:pPr>
              <w:rPr>
                <w:rFonts w:eastAsia="Times New Roman" w:cstheme="minorHAnsi"/>
                <w:color w:val="000000"/>
              </w:rPr>
            </w:pPr>
            <w:r w:rsidRPr="001C300D">
              <w:rPr>
                <w:rFonts w:eastAsia="Times New Roman" w:cstheme="minorHAnsi"/>
                <w:color w:val="000000"/>
              </w:rPr>
              <w:lastRenderedPageBreak/>
              <w:t xml:space="preserve">In </w:t>
            </w:r>
            <w:r w:rsidRPr="00CA551A">
              <w:rPr>
                <w:rFonts w:eastAsia="Times New Roman" w:cstheme="minorHAnsi"/>
                <w:color w:val="000000"/>
              </w:rPr>
              <w:t xml:space="preserve">section 2.2 </w:t>
            </w:r>
            <w:r w:rsidRPr="00CA551A">
              <w:rPr>
                <w:rFonts w:eastAsia="Times New Roman" w:cstheme="minorHAnsi"/>
                <w:i/>
                <w:color w:val="000000"/>
              </w:rPr>
              <w:t>The Role of Heritage in Community Development and Sustainability</w:t>
            </w:r>
            <w:r w:rsidRPr="00CA551A">
              <w:rPr>
                <w:rFonts w:eastAsia="Times New Roman" w:cstheme="minorHAnsi"/>
                <w:color w:val="000000"/>
              </w:rPr>
              <w:t xml:space="preserve">, the following has been added: </w:t>
            </w:r>
          </w:p>
          <w:p w14:paraId="5C7EE1FE" w14:textId="53C8844E" w:rsidR="007A7EB5" w:rsidRPr="00DE5783" w:rsidRDefault="007A7EB5" w:rsidP="00CA551A">
            <w:pPr>
              <w:rPr>
                <w:rFonts w:eastAsia="Times New Roman" w:cstheme="minorHAnsi"/>
                <w:color w:val="000000"/>
              </w:rPr>
            </w:pPr>
            <w:r w:rsidRPr="007A7EB5">
              <w:rPr>
                <w:rFonts w:eastAsia="Times New Roman" w:cs="Times New Roman"/>
                <w:color w:val="000000"/>
              </w:rPr>
              <w:lastRenderedPageBreak/>
              <w:t>“</w:t>
            </w:r>
            <w:r w:rsidR="00DE5783" w:rsidRPr="00DE5783">
              <w:rPr>
                <w:rFonts w:eastAsia="Times New Roman" w:cstheme="minorHAnsi"/>
                <w:color w:val="000000"/>
              </w:rPr>
              <w:t>The 1990s were marked by a crisis in the fishing industry in NL. Multiple factors, particularly decades of overfishing by foreign trawlers led to the depletion of Northern Cod stocks (Overton, 2007; Kendall, 2005) and a moratorium on the province’s cod fishery that shattered the economic base of many rural and fisheries-dependent communities (Overton, 2007).</w:t>
            </w:r>
            <w:r w:rsidRPr="00DE5783">
              <w:rPr>
                <w:rFonts w:eastAsia="Times New Roman" w:cstheme="minorHAnsi"/>
                <w:color w:val="000000"/>
              </w:rPr>
              <w:t>”</w:t>
            </w:r>
          </w:p>
          <w:p w14:paraId="603E1150" w14:textId="0D76B96A" w:rsidR="001C300D" w:rsidRPr="001C300D" w:rsidRDefault="001C300D" w:rsidP="00CA551A">
            <w:pPr>
              <w:rPr>
                <w:rFonts w:cstheme="minorHAnsi"/>
              </w:rPr>
            </w:pPr>
          </w:p>
        </w:tc>
      </w:tr>
      <w:tr w:rsidR="00B22B85" w:rsidRPr="001C300D" w14:paraId="54CC2CD9" w14:textId="77777777" w:rsidTr="0019731F">
        <w:tc>
          <w:tcPr>
            <w:tcW w:w="4675" w:type="dxa"/>
          </w:tcPr>
          <w:p w14:paraId="367518C1" w14:textId="77777777" w:rsidR="00B22B85" w:rsidRPr="001C300D" w:rsidRDefault="00B22B85" w:rsidP="00B22B85">
            <w:pPr>
              <w:rPr>
                <w:rFonts w:cstheme="minorHAnsi"/>
              </w:rPr>
            </w:pPr>
            <w:r w:rsidRPr="001C300D">
              <w:rPr>
                <w:rFonts w:cstheme="minorHAnsi"/>
              </w:rPr>
              <w:lastRenderedPageBreak/>
              <w:t>A map would be useful.</w:t>
            </w:r>
          </w:p>
          <w:p w14:paraId="45436A8C" w14:textId="77777777" w:rsidR="00B22B85" w:rsidRPr="001C300D" w:rsidRDefault="00B22B85" w:rsidP="00B22B85">
            <w:pPr>
              <w:rPr>
                <w:rFonts w:cstheme="minorHAnsi"/>
              </w:rPr>
            </w:pPr>
          </w:p>
        </w:tc>
        <w:tc>
          <w:tcPr>
            <w:tcW w:w="4675" w:type="dxa"/>
          </w:tcPr>
          <w:p w14:paraId="465B4CCF" w14:textId="04736D28" w:rsidR="00B22B85" w:rsidRDefault="00B22B85" w:rsidP="00B22B85">
            <w:pPr>
              <w:rPr>
                <w:rFonts w:cstheme="minorHAnsi"/>
              </w:rPr>
            </w:pPr>
            <w:r w:rsidRPr="001C300D">
              <w:rPr>
                <w:rFonts w:cstheme="minorHAnsi"/>
              </w:rPr>
              <w:t>A map has been added to the “Introduction to Case Studies” section, in addition to photos of each of the three case studies</w:t>
            </w:r>
            <w:r w:rsidR="00DE5783">
              <w:rPr>
                <w:rFonts w:cstheme="minorHAnsi"/>
              </w:rPr>
              <w:t xml:space="preserve"> throughout the paper</w:t>
            </w:r>
            <w:r w:rsidRPr="001C300D">
              <w:rPr>
                <w:rFonts w:cstheme="minorHAnsi"/>
              </w:rPr>
              <w:t>.</w:t>
            </w:r>
          </w:p>
          <w:p w14:paraId="379E73C5" w14:textId="77777777" w:rsidR="001C300D" w:rsidRPr="001C300D" w:rsidRDefault="001C300D" w:rsidP="00B22B85">
            <w:pPr>
              <w:rPr>
                <w:rFonts w:cstheme="minorHAnsi"/>
              </w:rPr>
            </w:pPr>
          </w:p>
        </w:tc>
      </w:tr>
      <w:tr w:rsidR="00B22B85" w:rsidRPr="001C300D" w14:paraId="1F9A5D3E" w14:textId="77777777" w:rsidTr="0019731F">
        <w:tc>
          <w:tcPr>
            <w:tcW w:w="4675" w:type="dxa"/>
          </w:tcPr>
          <w:p w14:paraId="37E16A55" w14:textId="77777777" w:rsidR="00B22B85" w:rsidRPr="001C300D" w:rsidRDefault="00B22B85" w:rsidP="00B22B85">
            <w:pPr>
              <w:rPr>
                <w:rFonts w:cstheme="minorHAnsi"/>
              </w:rPr>
            </w:pPr>
            <w:r w:rsidRPr="001C300D">
              <w:rPr>
                <w:rFonts w:cstheme="minorHAnsi"/>
              </w:rPr>
              <w:t>Some idea of the scale of tourism in the provinces and if possible in the case study towns would be useful.</w:t>
            </w:r>
          </w:p>
          <w:p w14:paraId="5DB90F20" w14:textId="77777777" w:rsidR="00B22B85" w:rsidRPr="001C300D" w:rsidRDefault="00B22B85" w:rsidP="00B22B85">
            <w:pPr>
              <w:rPr>
                <w:rFonts w:cstheme="minorHAnsi"/>
              </w:rPr>
            </w:pPr>
          </w:p>
        </w:tc>
        <w:tc>
          <w:tcPr>
            <w:tcW w:w="4675" w:type="dxa"/>
          </w:tcPr>
          <w:p w14:paraId="1F862D12" w14:textId="64EAC6D7" w:rsidR="00B22B85" w:rsidRDefault="001C300D" w:rsidP="00411F20">
            <w:pPr>
              <w:rPr>
                <w:rFonts w:eastAsia="Times New Roman" w:cstheme="minorHAnsi"/>
                <w:color w:val="000000"/>
              </w:rPr>
            </w:pPr>
            <w:r w:rsidRPr="001C300D">
              <w:rPr>
                <w:rFonts w:cstheme="minorHAnsi"/>
              </w:rPr>
              <w:t xml:space="preserve">The following has been added on page 6 to address this suggestion: </w:t>
            </w:r>
          </w:p>
          <w:p w14:paraId="0608C633" w14:textId="77777777" w:rsidR="001C300D" w:rsidRDefault="00411F20" w:rsidP="00B22B85">
            <w:pPr>
              <w:rPr>
                <w:rFonts w:eastAsia="Times New Roman" w:cs="Times New Roman"/>
                <w:color w:val="000000"/>
              </w:rPr>
            </w:pPr>
            <w:r w:rsidRPr="006C402C">
              <w:rPr>
                <w:rFonts w:eastAsia="Times New Roman" w:cs="Times New Roman"/>
                <w:color w:val="000000"/>
              </w:rPr>
              <w:t>“Illustrating the success of these efforts, in 2015, NL saw 503,000 non-resident visitors to the province, an increase from 263,000 in 1991 (pre cod moratorium). These visitors spent $492.8 million, up from an estimated $117.5 million over the same period (Department of Business, Tourism, Culture and Rural Development, 2015; NL, 1992). In 2015, approximately 24,000 visitors made their way to L’Anse Aux Meadows National Historic Site at the top of the Northern Peninsula, a 15% increase from 2014 (Department of Business, Tourism, Culture and Rural Development, 2015).”</w:t>
            </w:r>
          </w:p>
          <w:p w14:paraId="6886BB0A" w14:textId="77777777" w:rsidR="00DE5783" w:rsidRDefault="00DE5783" w:rsidP="00B22B85">
            <w:pPr>
              <w:rPr>
                <w:rFonts w:eastAsia="Times New Roman" w:cs="Times New Roman"/>
                <w:color w:val="000000"/>
              </w:rPr>
            </w:pPr>
          </w:p>
          <w:p w14:paraId="797BDB56" w14:textId="132F7985" w:rsidR="00DE5783" w:rsidRPr="006C402C" w:rsidRDefault="00DE5783" w:rsidP="00B22B85">
            <w:pPr>
              <w:rPr>
                <w:rFonts w:cstheme="minorHAnsi"/>
              </w:rPr>
            </w:pPr>
            <w:r>
              <w:rPr>
                <w:rFonts w:eastAsia="Times New Roman" w:cs="Times New Roman"/>
                <w:color w:val="000000"/>
              </w:rPr>
              <w:t xml:space="preserve">In addition, visitor numbers for GHP and TRSEP have been added to the discussion of economic capitals on </w:t>
            </w:r>
            <w:r w:rsidRPr="00DE5783">
              <w:rPr>
                <w:rFonts w:eastAsia="Times New Roman" w:cstheme="minorHAnsi"/>
                <w:color w:val="000000"/>
              </w:rPr>
              <w:t>page</w:t>
            </w:r>
            <w:r>
              <w:rPr>
                <w:rFonts w:eastAsia="Times New Roman" w:cstheme="minorHAnsi"/>
                <w:color w:val="000000"/>
              </w:rPr>
              <w:t xml:space="preserve"> 21:</w:t>
            </w:r>
            <w:r w:rsidRPr="00DE5783">
              <w:rPr>
                <w:rFonts w:eastAsia="Times New Roman" w:cstheme="minorHAnsi"/>
                <w:color w:val="000000"/>
              </w:rPr>
              <w:t xml:space="preserve"> “</w:t>
            </w:r>
            <w:r w:rsidRPr="00DE5783">
              <w:rPr>
                <w:rFonts w:eastAsia="Times New Roman" w:cstheme="minorHAnsi"/>
                <w:color w:val="000000"/>
              </w:rPr>
              <w:t>Each of the initiatives has also been successful in drawing tourists to their locals. For instance, GHP saw 17,500 paying and non-paying customers in 2016, while TRSEP saw 2800 visitors and more than 27 tour buses in 2015 (personal communication, April 24, 2017; personal communication, October 22, 2015).</w:t>
            </w:r>
            <w:r w:rsidRPr="00DE5783">
              <w:rPr>
                <w:rFonts w:eastAsia="Times New Roman" w:cstheme="minorHAnsi"/>
                <w:color w:val="000000"/>
              </w:rPr>
              <w:t>”</w:t>
            </w:r>
          </w:p>
        </w:tc>
      </w:tr>
      <w:tr w:rsidR="00B22B85" w:rsidRPr="001C300D" w14:paraId="74EF4615" w14:textId="77777777" w:rsidTr="0019731F">
        <w:tc>
          <w:tcPr>
            <w:tcW w:w="4675" w:type="dxa"/>
          </w:tcPr>
          <w:p w14:paraId="7FF7D5AE" w14:textId="77777777" w:rsidR="00B22B85" w:rsidRPr="001C300D" w:rsidRDefault="00B22B85" w:rsidP="00B22B85">
            <w:pPr>
              <w:rPr>
                <w:rFonts w:cstheme="minorHAnsi"/>
              </w:rPr>
            </w:pPr>
            <w:r w:rsidRPr="001C300D">
              <w:rPr>
                <w:rFonts w:cstheme="minorHAnsi"/>
              </w:rPr>
              <w:t>It would be worth including tourism as a key word</w:t>
            </w:r>
          </w:p>
          <w:p w14:paraId="61CD8352" w14:textId="77777777" w:rsidR="00B22B85" w:rsidRPr="001C300D" w:rsidRDefault="00B22B85" w:rsidP="00B22B85">
            <w:pPr>
              <w:rPr>
                <w:rFonts w:cstheme="minorHAnsi"/>
              </w:rPr>
            </w:pPr>
          </w:p>
        </w:tc>
        <w:tc>
          <w:tcPr>
            <w:tcW w:w="4675" w:type="dxa"/>
          </w:tcPr>
          <w:p w14:paraId="2433DE98" w14:textId="77777777" w:rsidR="00B22B85" w:rsidRPr="001C300D" w:rsidRDefault="00B22B85" w:rsidP="00B22B85">
            <w:pPr>
              <w:rPr>
                <w:rFonts w:cstheme="minorHAnsi"/>
              </w:rPr>
            </w:pPr>
            <w:r w:rsidRPr="001C300D">
              <w:rPr>
                <w:rFonts w:cstheme="minorHAnsi"/>
              </w:rPr>
              <w:t>Tourism has been added as a keyword.</w:t>
            </w:r>
          </w:p>
        </w:tc>
      </w:tr>
      <w:tr w:rsidR="00B22B85" w:rsidRPr="001C300D" w14:paraId="28DD2421" w14:textId="77777777" w:rsidTr="0019731F">
        <w:tc>
          <w:tcPr>
            <w:tcW w:w="4675" w:type="dxa"/>
          </w:tcPr>
          <w:p w14:paraId="1A607DCE" w14:textId="77777777" w:rsidR="00B22B85" w:rsidRPr="001C300D" w:rsidRDefault="00B22B85" w:rsidP="00B22B85">
            <w:pPr>
              <w:rPr>
                <w:rFonts w:cstheme="minorHAnsi"/>
              </w:rPr>
            </w:pPr>
            <w:r w:rsidRPr="00436DB4">
              <w:rPr>
                <w:rFonts w:cstheme="minorHAnsi"/>
              </w:rPr>
              <w:t xml:space="preserve">The conclusion should demonstrate how the findings have contributed to knowledge. For example, can the methodological approach be replicated elsewhere? Is Beckley et al’s framework suitable or does it need modification? Do the findings support previous research that </w:t>
            </w:r>
            <w:r w:rsidRPr="00436DB4">
              <w:rPr>
                <w:rFonts w:cstheme="minorHAnsi"/>
              </w:rPr>
              <w:lastRenderedPageBreak/>
              <w:t>was mentioned in the literature review?</w:t>
            </w:r>
          </w:p>
        </w:tc>
        <w:tc>
          <w:tcPr>
            <w:tcW w:w="4675" w:type="dxa"/>
          </w:tcPr>
          <w:p w14:paraId="34413BFE" w14:textId="6B432A9B" w:rsidR="00B22B85" w:rsidRPr="00DE5783" w:rsidRDefault="00436DB4" w:rsidP="00B22B85">
            <w:pPr>
              <w:rPr>
                <w:rFonts w:cstheme="minorHAnsi"/>
              </w:rPr>
            </w:pPr>
            <w:r>
              <w:rPr>
                <w:rFonts w:cstheme="minorHAnsi"/>
              </w:rPr>
              <w:lastRenderedPageBreak/>
              <w:t xml:space="preserve">A discussion of the suitability of the multiple-capitals framework offered by Beckley et al. </w:t>
            </w:r>
            <w:r w:rsidRPr="00DE5783">
              <w:rPr>
                <w:rFonts w:cstheme="minorHAnsi"/>
              </w:rPr>
              <w:t>(2008) is offered in the conclusion an</w:t>
            </w:r>
            <w:r w:rsidR="00DE5783">
              <w:rPr>
                <w:rFonts w:cstheme="minorHAnsi"/>
              </w:rPr>
              <w:t>d recommendations section (p. 25</w:t>
            </w:r>
            <w:r w:rsidRPr="00DE5783">
              <w:rPr>
                <w:rFonts w:cstheme="minorHAnsi"/>
              </w:rPr>
              <w:t>)</w:t>
            </w:r>
            <w:r w:rsidR="00C67B36" w:rsidRPr="00DE5783">
              <w:rPr>
                <w:rFonts w:cstheme="minorHAnsi"/>
              </w:rPr>
              <w:t>.</w:t>
            </w:r>
          </w:p>
          <w:p w14:paraId="3F68E6D6" w14:textId="77777777" w:rsidR="00DE5783" w:rsidRPr="00DE5783" w:rsidRDefault="00DE5783" w:rsidP="00B22B85">
            <w:pPr>
              <w:rPr>
                <w:rFonts w:cstheme="minorHAnsi"/>
              </w:rPr>
            </w:pPr>
          </w:p>
          <w:p w14:paraId="02C70A27" w14:textId="0B31F70D" w:rsidR="00DE5783" w:rsidRPr="001C300D" w:rsidRDefault="00DE5783" w:rsidP="00B22B85">
            <w:pPr>
              <w:rPr>
                <w:rFonts w:cstheme="minorHAnsi"/>
              </w:rPr>
            </w:pPr>
            <w:r w:rsidRPr="00DE5783">
              <w:rPr>
                <w:rFonts w:cstheme="minorHAnsi"/>
              </w:rPr>
              <w:t>“</w:t>
            </w:r>
            <w:r w:rsidRPr="00DE5783">
              <w:rPr>
                <w:rFonts w:eastAsia="Times New Roman" w:cstheme="minorHAnsi"/>
              </w:rPr>
              <w:t xml:space="preserve">This framework was found to be suitable for </w:t>
            </w:r>
            <w:r w:rsidRPr="00DE5783">
              <w:rPr>
                <w:rFonts w:eastAsia="Times New Roman" w:cstheme="minorHAnsi"/>
              </w:rPr>
              <w:lastRenderedPageBreak/>
              <w:t>comparative analysis in the context of this paper; however, the authors find that mobilization of resources in particular capital categories, focusing on building on respective strengths, may be more effective than mobilizing resources in all capital categories. At the same time, the framework ensures that contributions in other</w:t>
            </w:r>
            <w:r w:rsidRPr="00DE5783">
              <w:rPr>
                <w:rFonts w:eastAsia="Times New Roman" w:cstheme="minorHAnsi"/>
              </w:rPr>
              <w:t xml:space="preserve"> areas are considered as well.”</w:t>
            </w:r>
          </w:p>
        </w:tc>
      </w:tr>
    </w:tbl>
    <w:p w14:paraId="46BFD50A" w14:textId="77777777" w:rsidR="004C6399" w:rsidRPr="001C300D" w:rsidRDefault="004C6399">
      <w:pPr>
        <w:rPr>
          <w:rFonts w:cstheme="minorHAnsi"/>
        </w:rPr>
      </w:pPr>
    </w:p>
    <w:sectPr w:rsidR="004C6399" w:rsidRPr="001C3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D1B14"/>
    <w:multiLevelType w:val="hybridMultilevel"/>
    <w:tmpl w:val="2216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072194"/>
    <w:multiLevelType w:val="multilevel"/>
    <w:tmpl w:val="E11A2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31F"/>
    <w:rsid w:val="00073822"/>
    <w:rsid w:val="00080B4B"/>
    <w:rsid w:val="000C22BF"/>
    <w:rsid w:val="00103006"/>
    <w:rsid w:val="0011479C"/>
    <w:rsid w:val="001433A9"/>
    <w:rsid w:val="00193830"/>
    <w:rsid w:val="0019731F"/>
    <w:rsid w:val="001B2D51"/>
    <w:rsid w:val="001C300D"/>
    <w:rsid w:val="00205370"/>
    <w:rsid w:val="002F04BC"/>
    <w:rsid w:val="00316A22"/>
    <w:rsid w:val="00345816"/>
    <w:rsid w:val="003D7429"/>
    <w:rsid w:val="003E2FBA"/>
    <w:rsid w:val="00411F20"/>
    <w:rsid w:val="00436DB4"/>
    <w:rsid w:val="0044410A"/>
    <w:rsid w:val="004C6399"/>
    <w:rsid w:val="004C6E1E"/>
    <w:rsid w:val="004E08F5"/>
    <w:rsid w:val="00540ABD"/>
    <w:rsid w:val="00553A66"/>
    <w:rsid w:val="00553ECB"/>
    <w:rsid w:val="00595024"/>
    <w:rsid w:val="005B597D"/>
    <w:rsid w:val="00605F6C"/>
    <w:rsid w:val="006C402C"/>
    <w:rsid w:val="007376A5"/>
    <w:rsid w:val="00743554"/>
    <w:rsid w:val="007A7EB5"/>
    <w:rsid w:val="007D076F"/>
    <w:rsid w:val="007F0F48"/>
    <w:rsid w:val="0080386D"/>
    <w:rsid w:val="008D2AF4"/>
    <w:rsid w:val="0090180A"/>
    <w:rsid w:val="0094024F"/>
    <w:rsid w:val="009C124A"/>
    <w:rsid w:val="009F2E44"/>
    <w:rsid w:val="00A31FD5"/>
    <w:rsid w:val="00A33BC5"/>
    <w:rsid w:val="00A7649F"/>
    <w:rsid w:val="00AF186B"/>
    <w:rsid w:val="00B154DF"/>
    <w:rsid w:val="00B22B85"/>
    <w:rsid w:val="00B63FFE"/>
    <w:rsid w:val="00B80D61"/>
    <w:rsid w:val="00B85B00"/>
    <w:rsid w:val="00BA0453"/>
    <w:rsid w:val="00BC66D7"/>
    <w:rsid w:val="00BD4A01"/>
    <w:rsid w:val="00C15640"/>
    <w:rsid w:val="00C36825"/>
    <w:rsid w:val="00C41E17"/>
    <w:rsid w:val="00C67B36"/>
    <w:rsid w:val="00CA551A"/>
    <w:rsid w:val="00CF3C35"/>
    <w:rsid w:val="00D258C1"/>
    <w:rsid w:val="00DA467D"/>
    <w:rsid w:val="00DD1E73"/>
    <w:rsid w:val="00DD45B4"/>
    <w:rsid w:val="00DE5783"/>
    <w:rsid w:val="00E00BEC"/>
    <w:rsid w:val="00E1039B"/>
    <w:rsid w:val="00E259CF"/>
    <w:rsid w:val="00E93B3F"/>
    <w:rsid w:val="00EE0D81"/>
    <w:rsid w:val="00F371D7"/>
    <w:rsid w:val="00FA7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BDB65F"/>
  <w15:docId w15:val="{AE42672B-C795-4861-B455-8A9BF4C6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9731F"/>
    <w:pPr>
      <w:ind w:left="720"/>
      <w:contextualSpacing/>
    </w:pPr>
  </w:style>
  <w:style w:type="character" w:styleId="CommentReference">
    <w:name w:val="annotation reference"/>
    <w:basedOn w:val="DefaultParagraphFont"/>
    <w:uiPriority w:val="99"/>
    <w:semiHidden/>
    <w:unhideWhenUsed/>
    <w:rsid w:val="00CA551A"/>
    <w:rPr>
      <w:sz w:val="16"/>
      <w:szCs w:val="16"/>
    </w:rPr>
  </w:style>
  <w:style w:type="paragraph" w:styleId="CommentText">
    <w:name w:val="annotation text"/>
    <w:basedOn w:val="Normal"/>
    <w:link w:val="CommentTextChar"/>
    <w:uiPriority w:val="99"/>
    <w:semiHidden/>
    <w:unhideWhenUsed/>
    <w:rsid w:val="00CA551A"/>
    <w:pPr>
      <w:spacing w:line="240" w:lineRule="auto"/>
    </w:pPr>
    <w:rPr>
      <w:sz w:val="20"/>
      <w:szCs w:val="20"/>
    </w:rPr>
  </w:style>
  <w:style w:type="character" w:customStyle="1" w:styleId="CommentTextChar">
    <w:name w:val="Comment Text Char"/>
    <w:basedOn w:val="DefaultParagraphFont"/>
    <w:link w:val="CommentText"/>
    <w:uiPriority w:val="99"/>
    <w:semiHidden/>
    <w:rsid w:val="00CA551A"/>
    <w:rPr>
      <w:sz w:val="20"/>
      <w:szCs w:val="20"/>
    </w:rPr>
  </w:style>
  <w:style w:type="paragraph" w:styleId="BalloonText">
    <w:name w:val="Balloon Text"/>
    <w:basedOn w:val="Normal"/>
    <w:link w:val="BalloonTextChar"/>
    <w:uiPriority w:val="99"/>
    <w:semiHidden/>
    <w:unhideWhenUsed/>
    <w:rsid w:val="00CA551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551A"/>
    <w:rPr>
      <w:rFonts w:ascii="Lucida Grande"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4C6399"/>
    <w:rPr>
      <w:b/>
      <w:bCs/>
    </w:rPr>
  </w:style>
  <w:style w:type="character" w:customStyle="1" w:styleId="CommentSubjectChar">
    <w:name w:val="Comment Subject Char"/>
    <w:basedOn w:val="CommentTextChar"/>
    <w:link w:val="CommentSubject"/>
    <w:uiPriority w:val="99"/>
    <w:semiHidden/>
    <w:rsid w:val="004C6399"/>
    <w:rPr>
      <w:b/>
      <w:bCs/>
      <w:sz w:val="20"/>
      <w:szCs w:val="20"/>
    </w:rPr>
  </w:style>
  <w:style w:type="paragraph" w:styleId="NormalWeb">
    <w:name w:val="Normal (Web)"/>
    <w:basedOn w:val="Normal"/>
    <w:uiPriority w:val="99"/>
    <w:unhideWhenUsed/>
    <w:rsid w:val="004C6399"/>
    <w:pPr>
      <w:spacing w:before="100" w:beforeAutospacing="1" w:after="100" w:afterAutospacing="1" w:line="240" w:lineRule="auto"/>
    </w:pPr>
    <w:rPr>
      <w:rFonts w:ascii="Times" w:hAnsi="Times" w:cs="Times New Roman"/>
      <w:sz w:val="20"/>
      <w:szCs w:val="20"/>
      <w:lang w:val="en-CA"/>
    </w:rPr>
  </w:style>
  <w:style w:type="paragraph" w:styleId="Revision">
    <w:name w:val="Revision"/>
    <w:hidden/>
    <w:uiPriority w:val="99"/>
    <w:semiHidden/>
    <w:rsid w:val="004C6399"/>
    <w:pPr>
      <w:spacing w:after="0" w:line="240" w:lineRule="auto"/>
    </w:pPr>
  </w:style>
  <w:style w:type="character" w:styleId="Hyperlink">
    <w:name w:val="Hyperlink"/>
    <w:basedOn w:val="DefaultParagraphFont"/>
    <w:uiPriority w:val="99"/>
    <w:unhideWhenUsed/>
    <w:rsid w:val="006C40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486854">
      <w:bodyDiv w:val="1"/>
      <w:marLeft w:val="0"/>
      <w:marRight w:val="0"/>
      <w:marTop w:val="0"/>
      <w:marBottom w:val="0"/>
      <w:divBdr>
        <w:top w:val="none" w:sz="0" w:space="0" w:color="auto"/>
        <w:left w:val="none" w:sz="0" w:space="0" w:color="auto"/>
        <w:bottom w:val="none" w:sz="0" w:space="0" w:color="auto"/>
        <w:right w:val="none" w:sz="0" w:space="0" w:color="auto"/>
      </w:divBdr>
      <w:divsChild>
        <w:div w:id="1121412380">
          <w:marLeft w:val="0"/>
          <w:marRight w:val="0"/>
          <w:marTop w:val="0"/>
          <w:marBottom w:val="0"/>
          <w:divBdr>
            <w:top w:val="none" w:sz="0" w:space="0" w:color="auto"/>
            <w:left w:val="none" w:sz="0" w:space="0" w:color="auto"/>
            <w:bottom w:val="none" w:sz="0" w:space="0" w:color="auto"/>
            <w:right w:val="none" w:sz="0" w:space="0" w:color="auto"/>
          </w:divBdr>
          <w:divsChild>
            <w:div w:id="1079016408">
              <w:marLeft w:val="0"/>
              <w:marRight w:val="0"/>
              <w:marTop w:val="0"/>
              <w:marBottom w:val="0"/>
              <w:divBdr>
                <w:top w:val="none" w:sz="0" w:space="0" w:color="auto"/>
                <w:left w:val="none" w:sz="0" w:space="0" w:color="auto"/>
                <w:bottom w:val="none" w:sz="0" w:space="0" w:color="auto"/>
                <w:right w:val="none" w:sz="0" w:space="0" w:color="auto"/>
              </w:divBdr>
              <w:divsChild>
                <w:div w:id="1140730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50773">
      <w:bodyDiv w:val="1"/>
      <w:marLeft w:val="0"/>
      <w:marRight w:val="0"/>
      <w:marTop w:val="0"/>
      <w:marBottom w:val="0"/>
      <w:divBdr>
        <w:top w:val="none" w:sz="0" w:space="0" w:color="auto"/>
        <w:left w:val="none" w:sz="0" w:space="0" w:color="auto"/>
        <w:bottom w:val="none" w:sz="0" w:space="0" w:color="auto"/>
        <w:right w:val="none" w:sz="0" w:space="0" w:color="auto"/>
      </w:divBdr>
      <w:divsChild>
        <w:div w:id="839275840">
          <w:marLeft w:val="0"/>
          <w:marRight w:val="0"/>
          <w:marTop w:val="0"/>
          <w:marBottom w:val="0"/>
          <w:divBdr>
            <w:top w:val="none" w:sz="0" w:space="0" w:color="auto"/>
            <w:left w:val="none" w:sz="0" w:space="0" w:color="auto"/>
            <w:bottom w:val="none" w:sz="0" w:space="0" w:color="auto"/>
            <w:right w:val="none" w:sz="0" w:space="0" w:color="auto"/>
          </w:divBdr>
          <w:divsChild>
            <w:div w:id="1486436704">
              <w:marLeft w:val="0"/>
              <w:marRight w:val="0"/>
              <w:marTop w:val="0"/>
              <w:marBottom w:val="0"/>
              <w:divBdr>
                <w:top w:val="none" w:sz="0" w:space="0" w:color="auto"/>
                <w:left w:val="none" w:sz="0" w:space="0" w:color="auto"/>
                <w:bottom w:val="none" w:sz="0" w:space="0" w:color="auto"/>
                <w:right w:val="none" w:sz="0" w:space="0" w:color="auto"/>
              </w:divBdr>
              <w:divsChild>
                <w:div w:id="21852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64144">
      <w:bodyDiv w:val="1"/>
      <w:marLeft w:val="0"/>
      <w:marRight w:val="0"/>
      <w:marTop w:val="0"/>
      <w:marBottom w:val="0"/>
      <w:divBdr>
        <w:top w:val="none" w:sz="0" w:space="0" w:color="auto"/>
        <w:left w:val="none" w:sz="0" w:space="0" w:color="auto"/>
        <w:bottom w:val="none" w:sz="0" w:space="0" w:color="auto"/>
        <w:right w:val="none" w:sz="0" w:space="0" w:color="auto"/>
      </w:divBdr>
      <w:divsChild>
        <w:div w:id="1090277551">
          <w:marLeft w:val="0"/>
          <w:marRight w:val="0"/>
          <w:marTop w:val="0"/>
          <w:marBottom w:val="0"/>
          <w:divBdr>
            <w:top w:val="none" w:sz="0" w:space="0" w:color="auto"/>
            <w:left w:val="none" w:sz="0" w:space="0" w:color="auto"/>
            <w:bottom w:val="none" w:sz="0" w:space="0" w:color="auto"/>
            <w:right w:val="none" w:sz="0" w:space="0" w:color="auto"/>
          </w:divBdr>
          <w:divsChild>
            <w:div w:id="855775682">
              <w:marLeft w:val="0"/>
              <w:marRight w:val="0"/>
              <w:marTop w:val="0"/>
              <w:marBottom w:val="0"/>
              <w:divBdr>
                <w:top w:val="none" w:sz="0" w:space="0" w:color="auto"/>
                <w:left w:val="none" w:sz="0" w:space="0" w:color="auto"/>
                <w:bottom w:val="none" w:sz="0" w:space="0" w:color="auto"/>
                <w:right w:val="none" w:sz="0" w:space="0" w:color="auto"/>
              </w:divBdr>
              <w:divsChild>
                <w:div w:id="117206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Leanna Butters</dc:creator>
  <cp:keywords/>
  <dc:description/>
  <cp:lastModifiedBy>Leanna Butters</cp:lastModifiedBy>
  <cp:revision>2</cp:revision>
  <dcterms:created xsi:type="dcterms:W3CDTF">2017-04-26T16:26:00Z</dcterms:created>
  <dcterms:modified xsi:type="dcterms:W3CDTF">2017-04-26T16:26:00Z</dcterms:modified>
</cp:coreProperties>
</file>