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53" w:rsidRDefault="004079EC">
      <w:r>
        <w:t>TABLES</w:t>
      </w:r>
    </w:p>
    <w:p w:rsidR="004079EC" w:rsidRDefault="004079EC"/>
    <w:p w:rsidR="004079EC" w:rsidRPr="00284CCF" w:rsidRDefault="004079EC" w:rsidP="004079EC">
      <w:pPr>
        <w:ind w:firstLine="720"/>
        <w:rPr>
          <w:rFonts w:ascii="Times New Roman" w:hAnsi="Times New Roman" w:cs="Times New Roman"/>
          <w:b/>
          <w:sz w:val="24"/>
          <w:szCs w:val="24"/>
        </w:rPr>
      </w:pPr>
      <w:proofErr w:type="gramStart"/>
      <w:r w:rsidRPr="00284CCF">
        <w:rPr>
          <w:rFonts w:ascii="Times New Roman" w:hAnsi="Times New Roman" w:cs="Times New Roman"/>
          <w:b/>
          <w:sz w:val="24"/>
          <w:szCs w:val="24"/>
        </w:rPr>
        <w:t>Table 1.</w:t>
      </w:r>
      <w:proofErr w:type="gramEnd"/>
      <w:r w:rsidRPr="00284CCF">
        <w:rPr>
          <w:rFonts w:ascii="Times New Roman" w:hAnsi="Times New Roman" w:cs="Times New Roman"/>
          <w:b/>
          <w:sz w:val="24"/>
          <w:szCs w:val="24"/>
        </w:rPr>
        <w:t xml:space="preserve"> Interdependent determinants and facilitators of a food cluster</w:t>
      </w:r>
    </w:p>
    <w:tbl>
      <w:tblPr>
        <w:tblStyle w:val="TableGrid"/>
        <w:tblW w:w="9090" w:type="dxa"/>
        <w:tblInd w:w="198" w:type="dxa"/>
        <w:tblBorders>
          <w:left w:val="none" w:sz="0" w:space="0" w:color="auto"/>
          <w:right w:val="none" w:sz="0" w:space="0" w:color="auto"/>
          <w:insideH w:val="none" w:sz="0" w:space="0" w:color="auto"/>
          <w:insideV w:val="none" w:sz="0" w:space="0" w:color="auto"/>
        </w:tblBorders>
        <w:tblLook w:val="04A0"/>
      </w:tblPr>
      <w:tblGrid>
        <w:gridCol w:w="2686"/>
        <w:gridCol w:w="6404"/>
      </w:tblGrid>
      <w:tr w:rsidR="004079EC" w:rsidRPr="00284CCF" w:rsidTr="00CB0118">
        <w:tc>
          <w:tcPr>
            <w:tcW w:w="0" w:type="auto"/>
            <w:tcBorders>
              <w:top w:val="single" w:sz="4" w:space="0" w:color="auto"/>
              <w:bottom w:val="single" w:sz="4" w:space="0" w:color="auto"/>
            </w:tcBorders>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Interdependent Determinants &amp; Facilitators</w:t>
            </w:r>
          </w:p>
        </w:tc>
        <w:tc>
          <w:tcPr>
            <w:tcW w:w="6404" w:type="dxa"/>
            <w:tcBorders>
              <w:top w:val="single" w:sz="4" w:space="0" w:color="auto"/>
              <w:bottom w:val="single" w:sz="4" w:space="0" w:color="auto"/>
            </w:tcBorders>
          </w:tcPr>
          <w:p w:rsidR="004079EC" w:rsidRPr="00284CCF" w:rsidRDefault="004079EC" w:rsidP="00CB0118">
            <w:pPr>
              <w:spacing w:after="200"/>
              <w:jc w:val="center"/>
              <w:rPr>
                <w:rFonts w:ascii="Times New Roman" w:hAnsi="Times New Roman" w:cs="Times New Roman"/>
                <w:b/>
                <w:sz w:val="20"/>
                <w:szCs w:val="20"/>
              </w:rPr>
            </w:pPr>
            <w:r w:rsidRPr="00284CCF">
              <w:rPr>
                <w:rFonts w:ascii="Times New Roman" w:hAnsi="Times New Roman" w:cs="Times New Roman"/>
                <w:b/>
                <w:sz w:val="20"/>
                <w:szCs w:val="20"/>
              </w:rPr>
              <w:t>Content</w:t>
            </w:r>
          </w:p>
        </w:tc>
      </w:tr>
      <w:tr w:rsidR="004079EC" w:rsidRPr="00284CCF" w:rsidTr="00CB0118">
        <w:tc>
          <w:tcPr>
            <w:tcW w:w="0" w:type="auto"/>
            <w:tcBorders>
              <w:top w:val="single" w:sz="4" w:space="0" w:color="auto"/>
            </w:tcBorders>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Factor conditions</w:t>
            </w:r>
          </w:p>
        </w:tc>
        <w:tc>
          <w:tcPr>
            <w:tcW w:w="6404" w:type="dxa"/>
            <w:tcBorders>
              <w:top w:val="single" w:sz="4" w:space="0" w:color="auto"/>
            </w:tcBorders>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 xml:space="preserve">Factor endowments and attractions (natural and cultural landscapes); Factor endowments are not only inherited but also created through the application of natural, cultural, historical, organizational and human resources </w:t>
            </w:r>
          </w:p>
        </w:tc>
      </w:tr>
      <w:tr w:rsidR="004079EC" w:rsidRPr="00284CCF" w:rsidTr="00CB0118">
        <w:tc>
          <w:tcPr>
            <w:tcW w:w="0" w:type="auto"/>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Demand conditions</w:t>
            </w:r>
          </w:p>
        </w:tc>
        <w:tc>
          <w:tcPr>
            <w:tcW w:w="6404" w:type="dxa"/>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The market for food tourism products and services; The existence of a sufficiently large number of sophisticated tourists within a reasonably close market area; Quality-conscious tourists with sufficient disposable incomes exert constant quality control, moving suppliers towards high-quality market segments</w:t>
            </w:r>
          </w:p>
        </w:tc>
      </w:tr>
      <w:tr w:rsidR="004079EC" w:rsidRPr="00284CCF" w:rsidTr="00CB0118">
        <w:tc>
          <w:tcPr>
            <w:tcW w:w="0" w:type="auto"/>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Related and supporting industries</w:t>
            </w:r>
          </w:p>
        </w:tc>
        <w:tc>
          <w:tcPr>
            <w:tcW w:w="6404" w:type="dxa"/>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 xml:space="preserve">Firms or producers in the region that provide inputs that support the establishment and operation of a culinary cluster: the diversity and the quality of supporting industries (e.g. high quality service </w:t>
            </w:r>
            <w:r>
              <w:rPr>
                <w:rFonts w:ascii="Times New Roman" w:hAnsi="Times New Roman" w:cs="Times New Roman"/>
                <w:sz w:val="20"/>
                <w:szCs w:val="20"/>
              </w:rPr>
              <w:t xml:space="preserve">and parking </w:t>
            </w:r>
            <w:r w:rsidRPr="00284CCF">
              <w:rPr>
                <w:rFonts w:ascii="Times New Roman" w:hAnsi="Times New Roman" w:cs="Times New Roman"/>
                <w:sz w:val="20"/>
                <w:szCs w:val="20"/>
              </w:rPr>
              <w:t>facilities)</w:t>
            </w:r>
          </w:p>
        </w:tc>
      </w:tr>
      <w:tr w:rsidR="004079EC" w:rsidRPr="00284CCF" w:rsidTr="00CB0118">
        <w:tc>
          <w:tcPr>
            <w:tcW w:w="0" w:type="auto"/>
            <w:tcBorders>
              <w:bottom w:val="single" w:sz="4" w:space="0" w:color="auto"/>
            </w:tcBorders>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Market structure</w:t>
            </w:r>
          </w:p>
        </w:tc>
        <w:tc>
          <w:tcPr>
            <w:tcW w:w="6404" w:type="dxa"/>
            <w:tcBorders>
              <w:bottom w:val="single" w:sz="4" w:space="0" w:color="auto"/>
            </w:tcBorders>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A term that encapsulates the conditions in a place that govern how firms/organizations are created and managed, as well as the nature of local rivalry; Institutional and organizational infrastructure; Cluster plan and</w:t>
            </w:r>
            <w:r>
              <w:rPr>
                <w:rFonts w:ascii="Times New Roman" w:hAnsi="Times New Roman" w:cs="Times New Roman"/>
                <w:sz w:val="20"/>
                <w:szCs w:val="20"/>
              </w:rPr>
              <w:t xml:space="preserve"> </w:t>
            </w:r>
            <w:r w:rsidRPr="00284CCF">
              <w:rPr>
                <w:rFonts w:ascii="Times New Roman" w:hAnsi="Times New Roman" w:cs="Times New Roman"/>
                <w:sz w:val="20"/>
                <w:szCs w:val="20"/>
              </w:rPr>
              <w:t>branding strategy</w:t>
            </w:r>
          </w:p>
        </w:tc>
      </w:tr>
      <w:tr w:rsidR="004079EC" w:rsidRPr="00284CCF" w:rsidTr="00CB0118">
        <w:tc>
          <w:tcPr>
            <w:tcW w:w="0" w:type="auto"/>
            <w:tcBorders>
              <w:top w:val="nil"/>
            </w:tcBorders>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 xml:space="preserve">Environmentally friendly movement </w:t>
            </w:r>
          </w:p>
        </w:tc>
        <w:tc>
          <w:tcPr>
            <w:tcW w:w="6404" w:type="dxa"/>
            <w:tcBorders>
              <w:top w:val="nil"/>
            </w:tcBorders>
          </w:tcPr>
          <w:p w:rsidR="004079EC" w:rsidRPr="00284CCF" w:rsidRDefault="004079EC" w:rsidP="00CB0118">
            <w:pPr>
              <w:spacing w:after="200"/>
              <w:rPr>
                <w:rFonts w:ascii="Times New Roman" w:hAnsi="Times New Roman" w:cs="Times New Roman"/>
                <w:bCs/>
                <w:iCs/>
                <w:sz w:val="20"/>
                <w:szCs w:val="20"/>
              </w:rPr>
            </w:pPr>
            <w:r w:rsidRPr="00284CCF">
              <w:rPr>
                <w:rFonts w:ascii="Times New Roman" w:hAnsi="Times New Roman" w:cs="Times New Roman"/>
                <w:sz w:val="20"/>
                <w:szCs w:val="20"/>
              </w:rPr>
              <w:t>Environment-</w:t>
            </w:r>
            <w:proofErr w:type="spellStart"/>
            <w:r w:rsidRPr="00284CCF">
              <w:rPr>
                <w:rFonts w:ascii="Times New Roman" w:hAnsi="Times New Roman" w:cs="Times New Roman"/>
                <w:sz w:val="20"/>
                <w:szCs w:val="20"/>
              </w:rPr>
              <w:t>centred</w:t>
            </w:r>
            <w:proofErr w:type="spellEnd"/>
            <w:r w:rsidRPr="00284CCF">
              <w:rPr>
                <w:rFonts w:ascii="Times New Roman" w:hAnsi="Times New Roman" w:cs="Times New Roman"/>
                <w:sz w:val="20"/>
                <w:szCs w:val="20"/>
              </w:rPr>
              <w:t xml:space="preserve"> strategy focus</w:t>
            </w:r>
            <w:r>
              <w:rPr>
                <w:rFonts w:ascii="Times New Roman" w:hAnsi="Times New Roman" w:cs="Times New Roman"/>
                <w:sz w:val="20"/>
                <w:szCs w:val="20"/>
              </w:rPr>
              <w:t>ed on reducing food miles (e.g.</w:t>
            </w:r>
            <w:r w:rsidRPr="00284CCF">
              <w:rPr>
                <w:rFonts w:ascii="Times New Roman" w:hAnsi="Times New Roman" w:cs="Times New Roman"/>
                <w:sz w:val="20"/>
                <w:szCs w:val="20"/>
              </w:rPr>
              <w:t xml:space="preserve"> Slow Food Movement); I</w:t>
            </w:r>
            <w:r w:rsidRPr="00284CCF">
              <w:rPr>
                <w:rFonts w:ascii="Times New Roman" w:hAnsi="Times New Roman" w:cs="Times New Roman"/>
                <w:bCs/>
                <w:iCs/>
                <w:sz w:val="20"/>
                <w:szCs w:val="20"/>
              </w:rPr>
              <w:t xml:space="preserve">nvestment into improving quality of place and encouraging reduction of consumption and waste </w:t>
            </w:r>
          </w:p>
        </w:tc>
      </w:tr>
      <w:tr w:rsidR="004079EC" w:rsidRPr="00284CCF" w:rsidTr="00CB0118">
        <w:tc>
          <w:tcPr>
            <w:tcW w:w="0" w:type="auto"/>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Leadership</w:t>
            </w:r>
          </w:p>
        </w:tc>
        <w:tc>
          <w:tcPr>
            <w:tcW w:w="6404" w:type="dxa"/>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 xml:space="preserve">Strong leadership is among the most critical factors for the successful development of a creative food economy and food cluster as there are usually a large number of stakeholders involved in such clusters; There are various aspects of leadership: government (at various levels) and local organizations (DMO or culinary organization); A successful policy depends on strategic partnerships between private and public sectors </w:t>
            </w:r>
          </w:p>
        </w:tc>
      </w:tr>
      <w:tr w:rsidR="004079EC" w:rsidRPr="00284CCF" w:rsidTr="00CB0118">
        <w:tc>
          <w:tcPr>
            <w:tcW w:w="0" w:type="auto"/>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Stakeholder collaboration</w:t>
            </w:r>
          </w:p>
        </w:tc>
        <w:tc>
          <w:tcPr>
            <w:tcW w:w="6404" w:type="dxa"/>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Cooperation among</w:t>
            </w:r>
            <w:r>
              <w:rPr>
                <w:rFonts w:ascii="Times New Roman" w:hAnsi="Times New Roman" w:cs="Times New Roman"/>
                <w:sz w:val="20"/>
                <w:szCs w:val="20"/>
              </w:rPr>
              <w:t xml:space="preserve">st </w:t>
            </w:r>
            <w:r w:rsidRPr="00284CCF">
              <w:rPr>
                <w:rFonts w:ascii="Times New Roman" w:hAnsi="Times New Roman" w:cs="Times New Roman"/>
                <w:sz w:val="20"/>
                <w:szCs w:val="20"/>
              </w:rPr>
              <w:t>stakeholders to create sustainable food production and consumption nexus (food cluster); Stakeholders: chamber of commerce; economic development office; DMOs; NGOs; travel operators; restaurants; farmers; cooking school; chefs; artisans; retailers; and others</w:t>
            </w:r>
          </w:p>
        </w:tc>
      </w:tr>
      <w:tr w:rsidR="004079EC" w:rsidRPr="00C5268A" w:rsidTr="00CB0118">
        <w:tc>
          <w:tcPr>
            <w:tcW w:w="0" w:type="auto"/>
          </w:tcPr>
          <w:p w:rsidR="004079EC" w:rsidRPr="00284CCF" w:rsidRDefault="004079EC" w:rsidP="00CB0118">
            <w:pPr>
              <w:spacing w:after="200"/>
              <w:rPr>
                <w:rFonts w:ascii="Times New Roman" w:hAnsi="Times New Roman" w:cs="Times New Roman"/>
                <w:b/>
                <w:sz w:val="20"/>
                <w:szCs w:val="20"/>
              </w:rPr>
            </w:pPr>
            <w:r w:rsidRPr="00284CCF">
              <w:rPr>
                <w:rFonts w:ascii="Times New Roman" w:hAnsi="Times New Roman" w:cs="Times New Roman"/>
                <w:b/>
                <w:sz w:val="20"/>
                <w:szCs w:val="20"/>
              </w:rPr>
              <w:t>Communication &amp; information flows</w:t>
            </w:r>
          </w:p>
        </w:tc>
        <w:tc>
          <w:tcPr>
            <w:tcW w:w="6404" w:type="dxa"/>
          </w:tcPr>
          <w:p w:rsidR="004079EC" w:rsidRPr="00284CCF" w:rsidRDefault="004079EC" w:rsidP="00CB0118">
            <w:pPr>
              <w:spacing w:after="200"/>
              <w:rPr>
                <w:rFonts w:ascii="Times New Roman" w:hAnsi="Times New Roman" w:cs="Times New Roman"/>
                <w:sz w:val="20"/>
                <w:szCs w:val="20"/>
              </w:rPr>
            </w:pPr>
            <w:r w:rsidRPr="00284CCF">
              <w:rPr>
                <w:rFonts w:ascii="Times New Roman" w:hAnsi="Times New Roman" w:cs="Times New Roman"/>
                <w:sz w:val="20"/>
                <w:szCs w:val="20"/>
              </w:rPr>
              <w:t>Communications strategy to bring in new ideas, encourage consensus, and share accumulated knowledge and know-how</w:t>
            </w:r>
          </w:p>
        </w:tc>
      </w:tr>
    </w:tbl>
    <w:p w:rsidR="004079EC" w:rsidRPr="00C5268A" w:rsidRDefault="004079EC" w:rsidP="004079EC">
      <w:pPr>
        <w:spacing w:after="0"/>
        <w:ind w:firstLine="360"/>
        <w:rPr>
          <w:rFonts w:ascii="Times New Roman" w:hAnsi="Times New Roman" w:cs="Times New Roman"/>
          <w:sz w:val="24"/>
          <w:szCs w:val="24"/>
        </w:rPr>
      </w:pPr>
    </w:p>
    <w:p w:rsidR="004079EC" w:rsidRDefault="004079EC"/>
    <w:p w:rsidR="004079EC" w:rsidRDefault="004079EC"/>
    <w:p w:rsidR="004079EC" w:rsidRDefault="004079EC"/>
    <w:p w:rsidR="00DC163A" w:rsidRPr="00465D05" w:rsidRDefault="00DC163A" w:rsidP="00DC163A">
      <w:pPr>
        <w:jc w:val="center"/>
        <w:rPr>
          <w:b/>
        </w:rPr>
      </w:pPr>
      <w:proofErr w:type="gramStart"/>
      <w:r w:rsidRPr="00465D05">
        <w:rPr>
          <w:rFonts w:ascii="Times New Roman" w:hAnsi="Times New Roman" w:cs="Times New Roman"/>
          <w:b/>
          <w:sz w:val="24"/>
          <w:szCs w:val="24"/>
        </w:rPr>
        <w:lastRenderedPageBreak/>
        <w:t>Table 2.</w:t>
      </w:r>
      <w:proofErr w:type="gramEnd"/>
      <w:r w:rsidRPr="00465D05">
        <w:rPr>
          <w:rFonts w:ascii="Times New Roman" w:hAnsi="Times New Roman" w:cs="Times New Roman"/>
          <w:b/>
          <w:sz w:val="24"/>
          <w:szCs w:val="24"/>
        </w:rPr>
        <w:t xml:space="preserve">  Determinants and facilitators in the </w:t>
      </w:r>
      <w:proofErr w:type="spellStart"/>
      <w:r w:rsidRPr="00465D05">
        <w:rPr>
          <w:rFonts w:ascii="Times New Roman" w:hAnsi="Times New Roman" w:cs="Times New Roman"/>
          <w:b/>
          <w:sz w:val="24"/>
          <w:szCs w:val="24"/>
        </w:rPr>
        <w:t>Savour</w:t>
      </w:r>
      <w:proofErr w:type="spellEnd"/>
      <w:r w:rsidRPr="00465D05">
        <w:rPr>
          <w:rFonts w:ascii="Times New Roman" w:hAnsi="Times New Roman" w:cs="Times New Roman"/>
          <w:b/>
          <w:sz w:val="24"/>
          <w:szCs w:val="24"/>
        </w:rPr>
        <w:t xml:space="preserve"> Stratford </w:t>
      </w:r>
      <w:r>
        <w:rPr>
          <w:rFonts w:ascii="Times New Roman" w:hAnsi="Times New Roman" w:cs="Times New Roman"/>
          <w:b/>
          <w:sz w:val="24"/>
          <w:szCs w:val="24"/>
        </w:rPr>
        <w:t xml:space="preserve">food </w:t>
      </w:r>
      <w:r w:rsidRPr="00465D05">
        <w:rPr>
          <w:rFonts w:ascii="Times New Roman" w:hAnsi="Times New Roman" w:cs="Times New Roman"/>
          <w:b/>
          <w:sz w:val="24"/>
          <w:szCs w:val="24"/>
        </w:rPr>
        <w:t>cluster</w:t>
      </w:r>
    </w:p>
    <w:tbl>
      <w:tblPr>
        <w:tblStyle w:val="TableGrid"/>
        <w:tblW w:w="9630" w:type="dxa"/>
        <w:tblInd w:w="-162" w:type="dxa"/>
        <w:tblBorders>
          <w:left w:val="none" w:sz="0" w:space="0" w:color="auto"/>
          <w:right w:val="none" w:sz="0" w:space="0" w:color="auto"/>
          <w:insideV w:val="none" w:sz="0" w:space="0" w:color="auto"/>
        </w:tblBorders>
        <w:tblLook w:val="04A0"/>
      </w:tblPr>
      <w:tblGrid>
        <w:gridCol w:w="2250"/>
        <w:gridCol w:w="7380"/>
      </w:tblGrid>
      <w:tr w:rsidR="00DC163A" w:rsidRPr="00465D05" w:rsidTr="00CB0118">
        <w:tc>
          <w:tcPr>
            <w:tcW w:w="2250" w:type="dxa"/>
          </w:tcPr>
          <w:p w:rsidR="00DC163A" w:rsidRPr="00465D05" w:rsidRDefault="00DC163A" w:rsidP="00CB0118">
            <w:pPr>
              <w:spacing w:after="200"/>
              <w:rPr>
                <w:rFonts w:ascii="Times New Roman" w:hAnsi="Times New Roman" w:cs="Times New Roman"/>
                <w:b/>
                <w:sz w:val="18"/>
                <w:szCs w:val="18"/>
              </w:rPr>
            </w:pPr>
            <w:r w:rsidRPr="00465D05">
              <w:rPr>
                <w:rFonts w:ascii="Times New Roman" w:hAnsi="Times New Roman" w:cs="Times New Roman"/>
                <w:b/>
                <w:sz w:val="18"/>
                <w:szCs w:val="18"/>
              </w:rPr>
              <w:t xml:space="preserve">Interdependent Determinants &amp; Facilitators </w:t>
            </w:r>
          </w:p>
        </w:tc>
        <w:tc>
          <w:tcPr>
            <w:tcW w:w="7380" w:type="dxa"/>
          </w:tcPr>
          <w:p w:rsidR="00DC163A" w:rsidRPr="00465D05" w:rsidRDefault="00DC163A" w:rsidP="00CB0118">
            <w:pPr>
              <w:spacing w:after="200"/>
              <w:jc w:val="center"/>
              <w:rPr>
                <w:rFonts w:ascii="Times New Roman" w:hAnsi="Times New Roman" w:cs="Times New Roman"/>
                <w:b/>
                <w:sz w:val="18"/>
                <w:szCs w:val="18"/>
              </w:rPr>
            </w:pPr>
            <w:r w:rsidRPr="00465D05">
              <w:rPr>
                <w:rFonts w:ascii="Times New Roman" w:hAnsi="Times New Roman" w:cs="Times New Roman"/>
                <w:b/>
                <w:sz w:val="18"/>
                <w:szCs w:val="18"/>
              </w:rPr>
              <w:t>Contents</w:t>
            </w:r>
          </w:p>
        </w:tc>
      </w:tr>
      <w:tr w:rsidR="00DC163A" w:rsidRPr="00465D05" w:rsidTr="00CB0118">
        <w:tc>
          <w:tcPr>
            <w:tcW w:w="2250" w:type="dxa"/>
            <w:tcBorders>
              <w:bottom w:val="nil"/>
            </w:tcBorders>
          </w:tcPr>
          <w:p w:rsidR="00DC163A" w:rsidRPr="00465D05" w:rsidRDefault="00DC163A" w:rsidP="00CB0118">
            <w:pPr>
              <w:spacing w:after="200"/>
              <w:rPr>
                <w:rFonts w:ascii="Times New Roman" w:hAnsi="Times New Roman" w:cs="Times New Roman"/>
                <w:b/>
                <w:sz w:val="18"/>
                <w:szCs w:val="18"/>
              </w:rPr>
            </w:pPr>
            <w:r w:rsidRPr="00465D05">
              <w:rPr>
                <w:rFonts w:ascii="Times New Roman" w:hAnsi="Times New Roman" w:cs="Times New Roman"/>
                <w:b/>
                <w:sz w:val="18"/>
                <w:szCs w:val="18"/>
              </w:rPr>
              <w:t>Factor conditions</w:t>
            </w:r>
          </w:p>
          <w:p w:rsidR="00DC163A" w:rsidRPr="00465D05" w:rsidRDefault="00DC163A" w:rsidP="00CB0118">
            <w:pPr>
              <w:spacing w:after="200"/>
              <w:rPr>
                <w:rFonts w:ascii="Times New Roman" w:hAnsi="Times New Roman" w:cs="Times New Roman"/>
                <w:sz w:val="18"/>
                <w:szCs w:val="18"/>
              </w:rPr>
            </w:pPr>
          </w:p>
        </w:tc>
        <w:tc>
          <w:tcPr>
            <w:tcW w:w="7380" w:type="dxa"/>
            <w:tcBorders>
              <w:bottom w:val="nil"/>
            </w:tcBorders>
          </w:tcPr>
          <w:p w:rsidR="00DC163A" w:rsidRPr="00465D05" w:rsidRDefault="00DC163A" w:rsidP="00CB0118">
            <w:pPr>
              <w:spacing w:after="200"/>
              <w:rPr>
                <w:rFonts w:ascii="Times New Roman" w:hAnsi="Times New Roman" w:cs="Times New Roman"/>
                <w:sz w:val="18"/>
                <w:szCs w:val="18"/>
              </w:rPr>
            </w:pPr>
            <w:r w:rsidRPr="00465D05">
              <w:rPr>
                <w:rFonts w:ascii="Times New Roman" w:hAnsi="Times New Roman" w:cs="Times New Roman"/>
                <w:sz w:val="18"/>
                <w:szCs w:val="18"/>
              </w:rPr>
              <w:t>Strong core, leading and supporting assets (agricultural sector is one of top three leading economic sectors; tourism has already been well developed); Natural, cultural, institutional, organizational and human resources (e</w:t>
            </w:r>
            <w:r w:rsidRPr="00465D05">
              <w:rPr>
                <w:rFonts w:ascii="Times New Roman" w:eastAsia="Times New Roman" w:hAnsi="Times New Roman" w:cs="Times New Roman"/>
                <w:bCs/>
                <w:sz w:val="18"/>
                <w:szCs w:val="18"/>
              </w:rPr>
              <w:t xml:space="preserve">.g. </w:t>
            </w:r>
            <w:r w:rsidRPr="00465D05">
              <w:rPr>
                <w:rFonts w:ascii="Times New Roman" w:hAnsi="Times New Roman" w:cs="Times New Roman"/>
                <w:sz w:val="18"/>
                <w:szCs w:val="18"/>
              </w:rPr>
              <w:t>pastoral countryside,</w:t>
            </w:r>
            <w:r w:rsidRPr="00465D05">
              <w:rPr>
                <w:rFonts w:ascii="Times New Roman" w:eastAsia="Times New Roman" w:hAnsi="Times New Roman" w:cs="Times New Roman"/>
                <w:bCs/>
                <w:sz w:val="18"/>
                <w:szCs w:val="18"/>
              </w:rPr>
              <w:t xml:space="preserve"> </w:t>
            </w:r>
            <w:r w:rsidRPr="00465D05">
              <w:rPr>
                <w:rFonts w:ascii="Times New Roman" w:hAnsi="Times New Roman" w:cs="Times New Roman"/>
                <w:sz w:val="18"/>
                <w:szCs w:val="18"/>
              </w:rPr>
              <w:t xml:space="preserve">culinary attractions, </w:t>
            </w:r>
            <w:r w:rsidRPr="00465D05">
              <w:rPr>
                <w:rFonts w:ascii="Times New Roman" w:hAnsi="Times New Roman" w:cs="Times New Roman"/>
                <w:bCs/>
                <w:sz w:val="18"/>
                <w:szCs w:val="18"/>
              </w:rPr>
              <w:t>food festivals/events, farmers</w:t>
            </w:r>
            <w:r>
              <w:rPr>
                <w:rFonts w:ascii="Times New Roman" w:hAnsi="Times New Roman" w:cs="Times New Roman"/>
                <w:bCs/>
                <w:sz w:val="18"/>
                <w:szCs w:val="18"/>
              </w:rPr>
              <w:t>’</w:t>
            </w:r>
            <w:r w:rsidRPr="00465D05">
              <w:rPr>
                <w:rFonts w:ascii="Times New Roman" w:hAnsi="Times New Roman" w:cs="Times New Roman"/>
                <w:bCs/>
                <w:sz w:val="18"/>
                <w:szCs w:val="18"/>
              </w:rPr>
              <w:t xml:space="preserve"> markets, cooking schools/chefs</w:t>
            </w:r>
            <w:r w:rsidRPr="00465D05">
              <w:rPr>
                <w:rFonts w:ascii="Times New Roman" w:eastAsia="Times New Roman" w:hAnsi="Times New Roman" w:cs="Times New Roman"/>
                <w:bCs/>
                <w:kern w:val="36"/>
                <w:sz w:val="18"/>
                <w:szCs w:val="18"/>
              </w:rPr>
              <w:t xml:space="preserve">, slow food convivial, creative arts industry, museums, gardens, built heritage, accommodations) </w:t>
            </w:r>
          </w:p>
          <w:p w:rsidR="00DC163A" w:rsidRPr="00465D05" w:rsidRDefault="00DC163A" w:rsidP="00CB0118">
            <w:pPr>
              <w:spacing w:after="200"/>
              <w:rPr>
                <w:rFonts w:ascii="Times New Roman" w:eastAsia="Times New Roman" w:hAnsi="Times New Roman" w:cs="Times New Roman"/>
                <w:bCs/>
                <w:sz w:val="18"/>
                <w:szCs w:val="18"/>
              </w:rPr>
            </w:pPr>
            <w:r w:rsidRPr="00465D05">
              <w:rPr>
                <w:rFonts w:ascii="Times New Roman" w:eastAsia="Times New Roman" w:hAnsi="Times New Roman" w:cs="Times New Roman"/>
                <w:bCs/>
                <w:sz w:val="18"/>
                <w:szCs w:val="18"/>
              </w:rPr>
              <w:t xml:space="preserve">Well-developed food products/programs integrated with </w:t>
            </w:r>
            <w:r w:rsidRPr="00465D05">
              <w:rPr>
                <w:rFonts w:ascii="Times New Roman" w:hAnsi="Times New Roman" w:cs="Times New Roman"/>
                <w:sz w:val="18"/>
                <w:szCs w:val="18"/>
              </w:rPr>
              <w:t>hard and soft factors</w:t>
            </w:r>
            <w:r w:rsidRPr="00465D05">
              <w:rPr>
                <w:rFonts w:ascii="Times New Roman" w:eastAsia="Times New Roman" w:hAnsi="Times New Roman" w:cs="Times New Roman"/>
                <w:bCs/>
                <w:sz w:val="18"/>
                <w:szCs w:val="18"/>
              </w:rPr>
              <w:t xml:space="preserve"> (e.g. culinary getaways, </w:t>
            </w:r>
            <w:r w:rsidRPr="00465D05">
              <w:rPr>
                <w:rStyle w:val="Strong"/>
                <w:rFonts w:ascii="Times New Roman" w:hAnsi="Times New Roman" w:cs="Times New Roman"/>
                <w:b w:val="0"/>
                <w:sz w:val="18"/>
                <w:szCs w:val="18"/>
              </w:rPr>
              <w:t>culinary adventures,</w:t>
            </w:r>
            <w:r w:rsidRPr="00465D05">
              <w:rPr>
                <w:rStyle w:val="Strong"/>
                <w:rFonts w:ascii="Times New Roman" w:hAnsi="Times New Roman" w:cs="Times New Roman"/>
                <w:sz w:val="18"/>
                <w:szCs w:val="18"/>
              </w:rPr>
              <w:t xml:space="preserve"> </w:t>
            </w:r>
            <w:r w:rsidRPr="00465D05">
              <w:rPr>
                <w:rFonts w:ascii="Times New Roman" w:hAnsi="Times New Roman" w:cs="Times New Roman"/>
                <w:sz w:val="18"/>
                <w:szCs w:val="18"/>
              </w:rPr>
              <w:t xml:space="preserve">cooking schools/chefs, </w:t>
            </w:r>
            <w:hyperlink r:id="rId4" w:tgtFrame="_blank" w:history="1">
              <w:r w:rsidRPr="00DC163A">
                <w:rPr>
                  <w:rStyle w:val="Hyperlink"/>
                  <w:rFonts w:ascii="Times New Roman" w:hAnsi="Times New Roman" w:cs="Times New Roman"/>
                  <w:color w:val="auto"/>
                  <w:sz w:val="18"/>
                  <w:szCs w:val="18"/>
                  <w:u w:val="none"/>
                </w:rPr>
                <w:t>culinary walking tours</w:t>
              </w:r>
            </w:hyperlink>
            <w:r w:rsidRPr="00DC163A">
              <w:rPr>
                <w:rFonts w:ascii="Times New Roman" w:hAnsi="Times New Roman" w:cs="Times New Roman"/>
                <w:sz w:val="18"/>
                <w:szCs w:val="18"/>
              </w:rPr>
              <w:t>,</w:t>
            </w:r>
            <w:r w:rsidRPr="00465D05">
              <w:rPr>
                <w:rFonts w:ascii="Times New Roman" w:hAnsi="Times New Roman" w:cs="Times New Roman"/>
                <w:sz w:val="18"/>
                <w:szCs w:val="18"/>
              </w:rPr>
              <w:t xml:space="preserve"> farms, </w:t>
            </w:r>
            <w:hyperlink r:id="rId5" w:history="1">
              <w:r w:rsidRPr="00DC163A">
                <w:rPr>
                  <w:rStyle w:val="Hyperlink"/>
                  <w:rFonts w:ascii="Times New Roman" w:hAnsi="Times New Roman" w:cs="Times New Roman"/>
                  <w:color w:val="auto"/>
                  <w:sz w:val="18"/>
                  <w:szCs w:val="18"/>
                  <w:u w:val="none"/>
                </w:rPr>
                <w:t>restaurants</w:t>
              </w:r>
            </w:hyperlink>
            <w:r w:rsidRPr="00DC163A">
              <w:t>,</w:t>
            </w:r>
            <w:r w:rsidRPr="00465D05">
              <w:rPr>
                <w:rFonts w:ascii="Times New Roman" w:hAnsi="Times New Roman" w:cs="Times New Roman"/>
                <w:sz w:val="18"/>
                <w:szCs w:val="18"/>
              </w:rPr>
              <w:t xml:space="preserve"> dining and tasting events, creative arts industry, and annual food festival)</w:t>
            </w:r>
            <w:r w:rsidRPr="00465D05">
              <w:rPr>
                <w:rFonts w:ascii="Times New Roman" w:eastAsia="Times New Roman" w:hAnsi="Times New Roman" w:cs="Times New Roman"/>
                <w:bCs/>
                <w:kern w:val="36"/>
                <w:sz w:val="18"/>
                <w:szCs w:val="18"/>
              </w:rPr>
              <w:t xml:space="preserve"> </w:t>
            </w:r>
          </w:p>
        </w:tc>
      </w:tr>
      <w:tr w:rsidR="00DC163A" w:rsidRPr="00465D05" w:rsidTr="00CB0118">
        <w:tc>
          <w:tcPr>
            <w:tcW w:w="2250" w:type="dxa"/>
            <w:tcBorders>
              <w:top w:val="nil"/>
              <w:bottom w:val="nil"/>
            </w:tcBorders>
          </w:tcPr>
          <w:p w:rsidR="00DC163A" w:rsidRPr="00465D05" w:rsidRDefault="00DC163A" w:rsidP="00CB0118">
            <w:pPr>
              <w:spacing w:after="200"/>
              <w:rPr>
                <w:rFonts w:ascii="Times New Roman" w:hAnsi="Times New Roman" w:cs="Times New Roman"/>
                <w:b/>
                <w:sz w:val="18"/>
                <w:szCs w:val="18"/>
              </w:rPr>
            </w:pPr>
            <w:r w:rsidRPr="00465D05">
              <w:rPr>
                <w:rFonts w:ascii="Times New Roman" w:hAnsi="Times New Roman" w:cs="Times New Roman"/>
                <w:b/>
                <w:sz w:val="18"/>
                <w:szCs w:val="18"/>
              </w:rPr>
              <w:t>Demand conditions</w:t>
            </w:r>
          </w:p>
          <w:p w:rsidR="00DC163A" w:rsidRPr="00465D05" w:rsidRDefault="00DC163A" w:rsidP="00CB0118">
            <w:pPr>
              <w:spacing w:after="200"/>
              <w:rPr>
                <w:rFonts w:ascii="Times New Roman" w:hAnsi="Times New Roman" w:cs="Times New Roman"/>
                <w:sz w:val="18"/>
                <w:szCs w:val="18"/>
              </w:rPr>
            </w:pPr>
          </w:p>
        </w:tc>
        <w:tc>
          <w:tcPr>
            <w:tcW w:w="7380" w:type="dxa"/>
            <w:tcBorders>
              <w:top w:val="nil"/>
              <w:bottom w:val="nil"/>
            </w:tcBorders>
          </w:tcPr>
          <w:p w:rsidR="00DC163A" w:rsidRPr="00465D05" w:rsidRDefault="00DC163A" w:rsidP="00CB0118">
            <w:pPr>
              <w:spacing w:after="200"/>
              <w:rPr>
                <w:rFonts w:ascii="Times New Roman" w:hAnsi="Times New Roman" w:cs="Times New Roman"/>
                <w:iCs/>
                <w:sz w:val="18"/>
                <w:szCs w:val="18"/>
              </w:rPr>
            </w:pPr>
            <w:r w:rsidRPr="00465D05">
              <w:rPr>
                <w:rFonts w:ascii="Times New Roman" w:hAnsi="Times New Roman" w:cs="Times New Roman"/>
                <w:sz w:val="18"/>
                <w:szCs w:val="18"/>
              </w:rPr>
              <w:t>Both local residents and visitors. Primary target market: ‘empty-nester’ urban couples, and singles; on average over thirty years old, well-educated, upper-income and sophisticated Canadian and international travelers seeking quality food and cultural experiences</w:t>
            </w:r>
          </w:p>
        </w:tc>
      </w:tr>
      <w:tr w:rsidR="00DC163A" w:rsidRPr="00465D05" w:rsidTr="00CB0118">
        <w:tc>
          <w:tcPr>
            <w:tcW w:w="2250" w:type="dxa"/>
            <w:tcBorders>
              <w:top w:val="nil"/>
              <w:bottom w:val="nil"/>
            </w:tcBorders>
          </w:tcPr>
          <w:p w:rsidR="00DC163A" w:rsidRPr="00465D05" w:rsidRDefault="00DC163A" w:rsidP="00CB0118">
            <w:pPr>
              <w:spacing w:after="200"/>
              <w:rPr>
                <w:rFonts w:ascii="Times New Roman" w:hAnsi="Times New Roman" w:cs="Times New Roman"/>
                <w:b/>
                <w:sz w:val="18"/>
                <w:szCs w:val="18"/>
              </w:rPr>
            </w:pPr>
            <w:r w:rsidRPr="00465D05">
              <w:rPr>
                <w:rFonts w:ascii="Times New Roman" w:hAnsi="Times New Roman" w:cs="Times New Roman"/>
                <w:b/>
                <w:sz w:val="18"/>
                <w:szCs w:val="18"/>
              </w:rPr>
              <w:t>Related &amp; supporting industries</w:t>
            </w:r>
          </w:p>
          <w:p w:rsidR="00DC163A" w:rsidRPr="00465D05" w:rsidRDefault="00DC163A" w:rsidP="00CB0118">
            <w:pPr>
              <w:spacing w:after="200"/>
              <w:rPr>
                <w:rFonts w:ascii="Times New Roman" w:hAnsi="Times New Roman" w:cs="Times New Roman"/>
                <w:sz w:val="18"/>
                <w:szCs w:val="18"/>
              </w:rPr>
            </w:pPr>
          </w:p>
        </w:tc>
        <w:tc>
          <w:tcPr>
            <w:tcW w:w="7380" w:type="dxa"/>
            <w:tcBorders>
              <w:top w:val="nil"/>
              <w:bottom w:val="nil"/>
            </w:tcBorders>
          </w:tcPr>
          <w:p w:rsidR="00DC163A" w:rsidRPr="00465D05" w:rsidRDefault="00DC163A" w:rsidP="00CB0118">
            <w:pPr>
              <w:spacing w:after="200"/>
              <w:rPr>
                <w:rFonts w:ascii="Times New Roman" w:hAnsi="Times New Roman" w:cs="Times New Roman"/>
                <w:sz w:val="18"/>
                <w:szCs w:val="18"/>
              </w:rPr>
            </w:pPr>
            <w:r w:rsidRPr="00465D05">
              <w:rPr>
                <w:rFonts w:ascii="Times New Roman" w:hAnsi="Times New Roman" w:cs="Times New Roman"/>
                <w:sz w:val="18"/>
                <w:szCs w:val="18"/>
              </w:rPr>
              <w:t>Creative industry as strong supporting assets for creative food economy and culinary movement</w:t>
            </w:r>
          </w:p>
          <w:p w:rsidR="00DC163A" w:rsidRPr="00465D05" w:rsidRDefault="00DC163A" w:rsidP="00CB0118">
            <w:pPr>
              <w:spacing w:after="200"/>
              <w:rPr>
                <w:rFonts w:ascii="Times New Roman" w:hAnsi="Times New Roman" w:cs="Times New Roman"/>
                <w:bCs/>
                <w:sz w:val="18"/>
                <w:szCs w:val="18"/>
              </w:rPr>
            </w:pPr>
            <w:r w:rsidRPr="00465D05">
              <w:rPr>
                <w:rFonts w:ascii="Times New Roman" w:hAnsi="Times New Roman" w:cs="Times New Roman"/>
                <w:sz w:val="18"/>
                <w:szCs w:val="18"/>
              </w:rPr>
              <w:t xml:space="preserve">Suppliers and related firms: </w:t>
            </w:r>
            <w:r w:rsidRPr="00465D05">
              <w:rPr>
                <w:rFonts w:ascii="Times New Roman" w:hAnsi="Times New Roman" w:cs="Times New Roman"/>
                <w:bCs/>
                <w:sz w:val="18"/>
                <w:szCs w:val="18"/>
              </w:rPr>
              <w:t xml:space="preserve">hotels and inns, B&amp;B, motels and resorts, </w:t>
            </w:r>
            <w:r w:rsidRPr="00465D05">
              <w:rPr>
                <w:rFonts w:ascii="Times New Roman" w:hAnsi="Times New Roman" w:cs="Times New Roman"/>
                <w:sz w:val="18"/>
                <w:szCs w:val="18"/>
              </w:rPr>
              <w:t>culinary products shops, books and music shops, gifts and photographers shops, arts and antiques shops, fashion and design stores, wedding facilities, spas and aesthetics, recreational facilities, and the creative arts industry (theatres and galleries)</w:t>
            </w:r>
            <w:r w:rsidRPr="00465D05">
              <w:rPr>
                <w:rFonts w:ascii="Times New Roman" w:hAnsi="Times New Roman" w:cs="Times New Roman"/>
                <w:bCs/>
                <w:sz w:val="18"/>
                <w:szCs w:val="18"/>
              </w:rPr>
              <w:t xml:space="preserve">; </w:t>
            </w:r>
            <w:r w:rsidRPr="00465D05">
              <w:rPr>
                <w:rFonts w:ascii="Times New Roman" w:hAnsi="Times New Roman" w:cs="Times New Roman"/>
                <w:sz w:val="18"/>
                <w:szCs w:val="18"/>
              </w:rPr>
              <w:t>high quality service facilities: all day free parking, tourism information centre, health care, public recreation centre, and security</w:t>
            </w:r>
          </w:p>
        </w:tc>
      </w:tr>
      <w:tr w:rsidR="00DC163A" w:rsidRPr="00465D05" w:rsidTr="00CB0118">
        <w:tc>
          <w:tcPr>
            <w:tcW w:w="2250" w:type="dxa"/>
            <w:tcBorders>
              <w:top w:val="nil"/>
              <w:bottom w:val="single" w:sz="4" w:space="0" w:color="auto"/>
            </w:tcBorders>
          </w:tcPr>
          <w:p w:rsidR="00DC163A" w:rsidRPr="00465D05" w:rsidRDefault="00DC163A" w:rsidP="00CB0118">
            <w:pPr>
              <w:spacing w:after="200"/>
              <w:rPr>
                <w:rFonts w:ascii="Times New Roman" w:hAnsi="Times New Roman" w:cs="Times New Roman"/>
                <w:b/>
                <w:sz w:val="18"/>
                <w:szCs w:val="18"/>
              </w:rPr>
            </w:pPr>
            <w:r w:rsidRPr="00465D05">
              <w:rPr>
                <w:rFonts w:ascii="Times New Roman" w:hAnsi="Times New Roman" w:cs="Times New Roman"/>
                <w:b/>
                <w:sz w:val="18"/>
                <w:szCs w:val="18"/>
              </w:rPr>
              <w:t>Market structure</w:t>
            </w:r>
          </w:p>
        </w:tc>
        <w:tc>
          <w:tcPr>
            <w:tcW w:w="7380" w:type="dxa"/>
            <w:tcBorders>
              <w:top w:val="nil"/>
              <w:bottom w:val="single" w:sz="4" w:space="0" w:color="auto"/>
            </w:tcBorders>
          </w:tcPr>
          <w:p w:rsidR="00DC163A" w:rsidRPr="00465D05" w:rsidRDefault="00DC163A" w:rsidP="00CB0118">
            <w:pPr>
              <w:spacing w:after="200"/>
              <w:rPr>
                <w:rFonts w:ascii="Times New Roman" w:hAnsi="Times New Roman" w:cs="Times New Roman"/>
                <w:sz w:val="18"/>
                <w:szCs w:val="18"/>
              </w:rPr>
            </w:pPr>
            <w:r w:rsidRPr="00465D05">
              <w:rPr>
                <w:rFonts w:ascii="Times New Roman" w:hAnsi="Times New Roman" w:cs="Times New Roman"/>
                <w:sz w:val="18"/>
                <w:szCs w:val="18"/>
              </w:rPr>
              <w:t xml:space="preserve">Unified marketing organization (mixture of top-down and bottom-up structure); </w:t>
            </w:r>
            <w:r>
              <w:rPr>
                <w:rFonts w:ascii="Times New Roman" w:hAnsi="Times New Roman" w:cs="Times New Roman"/>
                <w:sz w:val="18"/>
                <w:szCs w:val="18"/>
              </w:rPr>
              <w:t xml:space="preserve">Well-established </w:t>
            </w:r>
            <w:r w:rsidRPr="00465D05">
              <w:rPr>
                <w:rFonts w:ascii="Times New Roman" w:hAnsi="Times New Roman" w:cs="Times New Roman"/>
                <w:sz w:val="18"/>
                <w:szCs w:val="18"/>
              </w:rPr>
              <w:t xml:space="preserve">institutional and organizational infrastructure; Well-developed place marketing/branding plan/strategy/budget </w:t>
            </w:r>
          </w:p>
        </w:tc>
      </w:tr>
      <w:tr w:rsidR="00DC163A" w:rsidRPr="00465D05" w:rsidTr="00CB0118">
        <w:tc>
          <w:tcPr>
            <w:tcW w:w="2250" w:type="dxa"/>
            <w:tcBorders>
              <w:bottom w:val="nil"/>
            </w:tcBorders>
          </w:tcPr>
          <w:p w:rsidR="00DC163A" w:rsidRPr="00465D05" w:rsidRDefault="00DC163A" w:rsidP="00CB0118">
            <w:pPr>
              <w:spacing w:after="200"/>
              <w:rPr>
                <w:rStyle w:val="Emphasis"/>
                <w:rFonts w:ascii="Times New Roman" w:hAnsi="Times New Roman" w:cs="Times New Roman"/>
                <w:b/>
                <w:i w:val="0"/>
                <w:sz w:val="18"/>
                <w:szCs w:val="18"/>
              </w:rPr>
            </w:pPr>
            <w:r w:rsidRPr="00465D05">
              <w:rPr>
                <w:rStyle w:val="Emphasis"/>
                <w:rFonts w:ascii="Times New Roman" w:hAnsi="Times New Roman" w:cs="Times New Roman"/>
                <w:b/>
                <w:i w:val="0"/>
                <w:sz w:val="18"/>
                <w:szCs w:val="18"/>
              </w:rPr>
              <w:t>Environmentally friendly movement</w:t>
            </w:r>
          </w:p>
          <w:p w:rsidR="00DC163A" w:rsidRPr="00465D05" w:rsidRDefault="00DC163A" w:rsidP="00CB0118">
            <w:pPr>
              <w:spacing w:after="200"/>
              <w:rPr>
                <w:rStyle w:val="Emphasis"/>
                <w:rFonts w:ascii="Times New Roman" w:hAnsi="Times New Roman" w:cs="Times New Roman"/>
                <w:b/>
                <w:i w:val="0"/>
                <w:sz w:val="18"/>
                <w:szCs w:val="18"/>
              </w:rPr>
            </w:pPr>
          </w:p>
        </w:tc>
        <w:tc>
          <w:tcPr>
            <w:tcW w:w="7380" w:type="dxa"/>
            <w:tcBorders>
              <w:bottom w:val="nil"/>
            </w:tcBorders>
          </w:tcPr>
          <w:p w:rsidR="00DC163A" w:rsidRPr="00465D05" w:rsidRDefault="00DC163A" w:rsidP="00CB0118">
            <w:pPr>
              <w:spacing w:after="200"/>
              <w:rPr>
                <w:rStyle w:val="Emphasis"/>
                <w:rFonts w:ascii="Times New Roman" w:hAnsi="Times New Roman" w:cs="Times New Roman"/>
                <w:i w:val="0"/>
                <w:sz w:val="18"/>
                <w:szCs w:val="18"/>
              </w:rPr>
            </w:pPr>
            <w:r w:rsidRPr="00465D05">
              <w:rPr>
                <w:rStyle w:val="Emphasis"/>
                <w:rFonts w:ascii="Times New Roman" w:hAnsi="Times New Roman" w:cs="Times New Roman"/>
                <w:i w:val="0"/>
                <w:sz w:val="18"/>
                <w:szCs w:val="18"/>
              </w:rPr>
              <w:t xml:space="preserve">Strong understanding of the concepts of environmental well-being and sustainability (local food and agricultural products); Clean and pleasant environmental quality; Slow food </w:t>
            </w:r>
            <w:proofErr w:type="spellStart"/>
            <w:r w:rsidRPr="00465D05">
              <w:rPr>
                <w:rStyle w:val="Emphasis"/>
                <w:rFonts w:ascii="Times New Roman" w:hAnsi="Times New Roman" w:cs="Times New Roman"/>
                <w:i w:val="0"/>
                <w:sz w:val="18"/>
                <w:szCs w:val="18"/>
              </w:rPr>
              <w:t>convivia</w:t>
            </w:r>
            <w:proofErr w:type="spellEnd"/>
            <w:r w:rsidRPr="00465D05">
              <w:rPr>
                <w:rStyle w:val="Emphasis"/>
                <w:rFonts w:ascii="Times New Roman" w:hAnsi="Times New Roman" w:cs="Times New Roman"/>
                <w:i w:val="0"/>
                <w:sz w:val="18"/>
                <w:szCs w:val="18"/>
              </w:rPr>
              <w:t xml:space="preserve">: reduction of food miles, and certified restaurant program to advocate members to use local food products to reduce food miles </w:t>
            </w:r>
          </w:p>
        </w:tc>
      </w:tr>
      <w:tr w:rsidR="00DC163A" w:rsidRPr="00465D05" w:rsidTr="00CB0118">
        <w:tc>
          <w:tcPr>
            <w:tcW w:w="2250" w:type="dxa"/>
            <w:tcBorders>
              <w:top w:val="nil"/>
              <w:bottom w:val="nil"/>
            </w:tcBorders>
          </w:tcPr>
          <w:p w:rsidR="00DC163A" w:rsidRPr="00465D05" w:rsidRDefault="00DC163A" w:rsidP="00CB0118">
            <w:pPr>
              <w:spacing w:after="200"/>
              <w:rPr>
                <w:rStyle w:val="Emphasis"/>
                <w:rFonts w:ascii="Times New Roman" w:hAnsi="Times New Roman" w:cs="Times New Roman"/>
                <w:b/>
                <w:i w:val="0"/>
                <w:sz w:val="18"/>
                <w:szCs w:val="18"/>
              </w:rPr>
            </w:pPr>
            <w:r w:rsidRPr="00465D05">
              <w:rPr>
                <w:rStyle w:val="Emphasis"/>
                <w:rFonts w:ascii="Times New Roman" w:hAnsi="Times New Roman" w:cs="Times New Roman"/>
                <w:b/>
                <w:i w:val="0"/>
                <w:sz w:val="18"/>
                <w:szCs w:val="18"/>
              </w:rPr>
              <w:t xml:space="preserve">Leadership </w:t>
            </w:r>
          </w:p>
        </w:tc>
        <w:tc>
          <w:tcPr>
            <w:tcW w:w="7380" w:type="dxa"/>
            <w:tcBorders>
              <w:top w:val="nil"/>
              <w:bottom w:val="nil"/>
            </w:tcBorders>
          </w:tcPr>
          <w:p w:rsidR="00DC163A" w:rsidRPr="00465D05" w:rsidRDefault="00DC163A" w:rsidP="00CB0118">
            <w:pPr>
              <w:spacing w:after="200"/>
              <w:rPr>
                <w:rStyle w:val="Emphasis"/>
                <w:rFonts w:ascii="Times New Roman" w:hAnsi="Times New Roman" w:cs="Times New Roman"/>
                <w:i w:val="0"/>
                <w:sz w:val="18"/>
                <w:szCs w:val="18"/>
              </w:rPr>
            </w:pPr>
            <w:r w:rsidRPr="00465D05">
              <w:rPr>
                <w:rStyle w:val="Emphasis"/>
                <w:rFonts w:ascii="Times New Roman" w:hAnsi="Times New Roman" w:cs="Times New Roman"/>
                <w:i w:val="0"/>
                <w:sz w:val="18"/>
                <w:szCs w:val="18"/>
              </w:rPr>
              <w:t>Strong leadership led by Stratford Tourism Alliance (place marketing organization); Strong partnership with local and provincial governments through funding programs</w:t>
            </w:r>
            <w:r w:rsidRPr="00465D05">
              <w:t xml:space="preserve">; </w:t>
            </w:r>
            <w:r w:rsidRPr="00465D05">
              <w:rPr>
                <w:rFonts w:ascii="Times New Roman" w:hAnsi="Times New Roman" w:cs="Times New Roman"/>
                <w:sz w:val="18"/>
                <w:szCs w:val="18"/>
              </w:rPr>
              <w:t>Strong financial support from provincial and local governments; Funding programs: membership fees, partnership funds, City of Stratford fund, and destination ma</w:t>
            </w:r>
            <w:r>
              <w:rPr>
                <w:rFonts w:ascii="Times New Roman" w:hAnsi="Times New Roman" w:cs="Times New Roman"/>
                <w:sz w:val="18"/>
                <w:szCs w:val="18"/>
              </w:rPr>
              <w:t>rketing fund</w:t>
            </w:r>
            <w:r w:rsidRPr="00465D05">
              <w:rPr>
                <w:rStyle w:val="Emphasis"/>
                <w:rFonts w:ascii="Times New Roman" w:hAnsi="Times New Roman" w:cs="Times New Roman"/>
                <w:i w:val="0"/>
                <w:sz w:val="18"/>
                <w:szCs w:val="18"/>
              </w:rPr>
              <w:t xml:space="preserve"> </w:t>
            </w:r>
          </w:p>
        </w:tc>
      </w:tr>
      <w:tr w:rsidR="00DC163A" w:rsidRPr="00465D05" w:rsidTr="00CB0118">
        <w:tc>
          <w:tcPr>
            <w:tcW w:w="2250" w:type="dxa"/>
            <w:tcBorders>
              <w:top w:val="nil"/>
              <w:bottom w:val="nil"/>
            </w:tcBorders>
          </w:tcPr>
          <w:p w:rsidR="00DC163A" w:rsidRPr="00465D05" w:rsidRDefault="00DC163A" w:rsidP="00CB0118">
            <w:pPr>
              <w:spacing w:after="200"/>
              <w:rPr>
                <w:rStyle w:val="Emphasis"/>
                <w:rFonts w:ascii="Times New Roman" w:hAnsi="Times New Roman" w:cs="Times New Roman"/>
                <w:b/>
                <w:i w:val="0"/>
                <w:sz w:val="18"/>
                <w:szCs w:val="18"/>
              </w:rPr>
            </w:pPr>
            <w:r w:rsidRPr="00465D05">
              <w:rPr>
                <w:rStyle w:val="Emphasis"/>
                <w:rFonts w:ascii="Times New Roman" w:hAnsi="Times New Roman" w:cs="Times New Roman"/>
                <w:b/>
                <w:i w:val="0"/>
                <w:sz w:val="18"/>
                <w:szCs w:val="18"/>
              </w:rPr>
              <w:t>Stakeholder collaboration</w:t>
            </w:r>
          </w:p>
        </w:tc>
        <w:tc>
          <w:tcPr>
            <w:tcW w:w="7380" w:type="dxa"/>
            <w:tcBorders>
              <w:top w:val="nil"/>
              <w:bottom w:val="nil"/>
            </w:tcBorders>
          </w:tcPr>
          <w:p w:rsidR="00DC163A" w:rsidRPr="00465D05" w:rsidRDefault="00DC163A" w:rsidP="00CB0118">
            <w:pPr>
              <w:spacing w:after="200"/>
              <w:rPr>
                <w:rStyle w:val="Emphasis"/>
                <w:rFonts w:ascii="Times New Roman" w:hAnsi="Times New Roman" w:cs="Times New Roman"/>
                <w:i w:val="0"/>
                <w:sz w:val="18"/>
                <w:szCs w:val="18"/>
              </w:rPr>
            </w:pPr>
            <w:r w:rsidRPr="00465D05">
              <w:rPr>
                <w:rStyle w:val="Emphasis"/>
                <w:rFonts w:ascii="Times New Roman" w:hAnsi="Times New Roman" w:cs="Times New Roman"/>
                <w:i w:val="0"/>
                <w:sz w:val="18"/>
                <w:szCs w:val="18"/>
              </w:rPr>
              <w:t xml:space="preserve">Stakeholders: chamber of commerce, economic development office, DMOs, NGOs (slow food </w:t>
            </w:r>
            <w:proofErr w:type="spellStart"/>
            <w:r w:rsidRPr="00465D05">
              <w:rPr>
                <w:rStyle w:val="Emphasis"/>
                <w:rFonts w:ascii="Times New Roman" w:hAnsi="Times New Roman" w:cs="Times New Roman"/>
                <w:i w:val="0"/>
                <w:sz w:val="18"/>
                <w:szCs w:val="18"/>
              </w:rPr>
              <w:t>convivia</w:t>
            </w:r>
            <w:proofErr w:type="spellEnd"/>
            <w:r w:rsidRPr="00465D05">
              <w:rPr>
                <w:rStyle w:val="Emphasis"/>
                <w:rFonts w:ascii="Times New Roman" w:hAnsi="Times New Roman" w:cs="Times New Roman"/>
                <w:i w:val="0"/>
                <w:sz w:val="18"/>
                <w:szCs w:val="18"/>
              </w:rPr>
              <w:t>), restaurants, farmers, chefs, caterers, retailers, creative arts industry, and other associations</w:t>
            </w:r>
          </w:p>
        </w:tc>
      </w:tr>
      <w:tr w:rsidR="00DC163A" w:rsidRPr="00C5268A" w:rsidTr="00CB0118">
        <w:tc>
          <w:tcPr>
            <w:tcW w:w="2250" w:type="dxa"/>
            <w:tcBorders>
              <w:top w:val="nil"/>
            </w:tcBorders>
          </w:tcPr>
          <w:p w:rsidR="00DC163A" w:rsidRPr="00465D05" w:rsidRDefault="00DC163A" w:rsidP="00CB0118">
            <w:pPr>
              <w:spacing w:after="200"/>
              <w:rPr>
                <w:rStyle w:val="Emphasis"/>
                <w:rFonts w:ascii="Times New Roman" w:hAnsi="Times New Roman" w:cs="Times New Roman"/>
                <w:b/>
                <w:i w:val="0"/>
                <w:sz w:val="18"/>
                <w:szCs w:val="18"/>
              </w:rPr>
            </w:pPr>
            <w:r w:rsidRPr="00465D05">
              <w:rPr>
                <w:rStyle w:val="Emphasis"/>
                <w:rFonts w:ascii="Times New Roman" w:hAnsi="Times New Roman" w:cs="Times New Roman"/>
                <w:b/>
                <w:i w:val="0"/>
                <w:sz w:val="18"/>
                <w:szCs w:val="18"/>
              </w:rPr>
              <w:t>Communication &amp; information flows</w:t>
            </w:r>
          </w:p>
        </w:tc>
        <w:tc>
          <w:tcPr>
            <w:tcW w:w="7380" w:type="dxa"/>
            <w:tcBorders>
              <w:top w:val="nil"/>
            </w:tcBorders>
          </w:tcPr>
          <w:p w:rsidR="00DC163A" w:rsidRPr="00465D05" w:rsidRDefault="00DC163A" w:rsidP="00CB0118">
            <w:pPr>
              <w:pStyle w:val="ListParagraph"/>
              <w:spacing w:after="200"/>
              <w:ind w:left="0"/>
              <w:rPr>
                <w:rStyle w:val="Emphasis"/>
                <w:rFonts w:ascii="Times New Roman" w:hAnsi="Times New Roman" w:cs="Times New Roman"/>
                <w:i w:val="0"/>
                <w:sz w:val="18"/>
                <w:szCs w:val="18"/>
              </w:rPr>
            </w:pPr>
            <w:r w:rsidRPr="00465D05">
              <w:rPr>
                <w:rStyle w:val="Emphasis"/>
                <w:rFonts w:ascii="Times New Roman" w:hAnsi="Times New Roman" w:cs="Times New Roman"/>
                <w:i w:val="0"/>
                <w:sz w:val="18"/>
                <w:szCs w:val="18"/>
              </w:rPr>
              <w:t>Communications strategy to bring in new ideas and make consensus: annual food summit, training and communication strategy for chefs and farmers sub-committee, e-newsletter and press release for members and general public, blogs, websites and other social media</w:t>
            </w:r>
          </w:p>
        </w:tc>
      </w:tr>
    </w:tbl>
    <w:p w:rsidR="00DC163A" w:rsidRDefault="00DC163A" w:rsidP="00DC163A">
      <w:pPr>
        <w:spacing w:after="0"/>
        <w:ind w:left="720"/>
        <w:rPr>
          <w:rFonts w:ascii="Times New Roman" w:hAnsi="Times New Roman" w:cs="Times New Roman"/>
          <w:b/>
          <w:sz w:val="24"/>
          <w:szCs w:val="24"/>
        </w:rPr>
      </w:pPr>
    </w:p>
    <w:p w:rsidR="004079EC" w:rsidRDefault="004079EC"/>
    <w:sectPr w:rsidR="004079EC" w:rsidSect="00A64E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useFELayout/>
  </w:compat>
  <w:rsids>
    <w:rsidRoot w:val="004079EC"/>
    <w:rsid w:val="001F5D78"/>
    <w:rsid w:val="004079EC"/>
    <w:rsid w:val="00A64E53"/>
    <w:rsid w:val="00DC163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163A"/>
    <w:pPr>
      <w:ind w:left="720"/>
      <w:contextualSpacing/>
    </w:pPr>
  </w:style>
  <w:style w:type="character" w:styleId="Strong">
    <w:name w:val="Strong"/>
    <w:basedOn w:val="DefaultParagraphFont"/>
    <w:qFormat/>
    <w:rsid w:val="00DC163A"/>
    <w:rPr>
      <w:b/>
      <w:bCs/>
    </w:rPr>
  </w:style>
  <w:style w:type="character" w:styleId="Hyperlink">
    <w:name w:val="Hyperlink"/>
    <w:basedOn w:val="DefaultParagraphFont"/>
    <w:uiPriority w:val="99"/>
    <w:unhideWhenUsed/>
    <w:rsid w:val="00DC163A"/>
    <w:rPr>
      <w:color w:val="0000FF" w:themeColor="hyperlink"/>
      <w:u w:val="single"/>
    </w:rPr>
  </w:style>
  <w:style w:type="character" w:styleId="Emphasis">
    <w:name w:val="Emphasis"/>
    <w:basedOn w:val="DefaultParagraphFont"/>
    <w:qFormat/>
    <w:rsid w:val="00DC16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lcometostratford.com/media/video/videoplayer.php?ID=101" TargetMode="External"/><Relationship Id="rId4" Type="http://schemas.openxmlformats.org/officeDocument/2006/relationships/hyperlink" Target="http://www.welcometostratford.com/media/pdf/culinarywalkingtou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2</cp:revision>
  <dcterms:created xsi:type="dcterms:W3CDTF">2016-01-03T07:50:00Z</dcterms:created>
  <dcterms:modified xsi:type="dcterms:W3CDTF">2016-01-03T07:50:00Z</dcterms:modified>
</cp:coreProperties>
</file>